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5" w:type="dxa"/>
        <w:tblInd w:w="-431" w:type="dxa"/>
        <w:tblLayout w:type="fixed"/>
        <w:tblLook w:val="04A0" w:firstRow="1" w:lastRow="0" w:firstColumn="1" w:lastColumn="0" w:noHBand="0" w:noVBand="1"/>
      </w:tblPr>
      <w:tblGrid>
        <w:gridCol w:w="568"/>
        <w:gridCol w:w="1985"/>
        <w:gridCol w:w="6095"/>
        <w:gridCol w:w="6237"/>
      </w:tblGrid>
      <w:tr w:rsidR="00021480" w14:paraId="3F7143B0" w14:textId="77777777" w:rsidTr="00A807A2">
        <w:tc>
          <w:tcPr>
            <w:tcW w:w="568" w:type="dxa"/>
            <w:shd w:val="clear" w:color="auto" w:fill="auto"/>
          </w:tcPr>
          <w:p w14:paraId="107EAAEC" w14:textId="4EA5D94F" w:rsidR="00021480" w:rsidRPr="005D39AF" w:rsidRDefault="00021480" w:rsidP="003E716B">
            <w:pPr>
              <w:rPr>
                <w:rFonts w:ascii="Arial" w:hAnsi="Arial" w:cs="Arial"/>
                <w:b/>
                <w:sz w:val="24"/>
                <w:szCs w:val="24"/>
              </w:rPr>
            </w:pPr>
            <w:r>
              <w:rPr>
                <w:rFonts w:ascii="Arial" w:hAnsi="Arial" w:cs="Arial"/>
                <w:b/>
                <w:sz w:val="24"/>
                <w:szCs w:val="24"/>
              </w:rPr>
              <w:t>#</w:t>
            </w:r>
          </w:p>
        </w:tc>
        <w:tc>
          <w:tcPr>
            <w:tcW w:w="1985" w:type="dxa"/>
            <w:shd w:val="clear" w:color="auto" w:fill="auto"/>
          </w:tcPr>
          <w:p w14:paraId="75AB320B" w14:textId="44306AD1" w:rsidR="00021480" w:rsidRPr="005D39AF" w:rsidRDefault="00021480" w:rsidP="003E716B">
            <w:pPr>
              <w:rPr>
                <w:rFonts w:ascii="Arial" w:hAnsi="Arial" w:cs="Arial"/>
                <w:b/>
                <w:sz w:val="24"/>
                <w:szCs w:val="24"/>
              </w:rPr>
            </w:pPr>
            <w:r w:rsidRPr="005D39AF">
              <w:rPr>
                <w:rFonts w:ascii="Arial" w:hAnsi="Arial" w:cs="Arial"/>
                <w:b/>
                <w:sz w:val="24"/>
                <w:szCs w:val="24"/>
              </w:rPr>
              <w:t>Ref</w:t>
            </w:r>
          </w:p>
        </w:tc>
        <w:tc>
          <w:tcPr>
            <w:tcW w:w="6095" w:type="dxa"/>
          </w:tcPr>
          <w:p w14:paraId="43ABC290" w14:textId="2B89592B" w:rsidR="00021480" w:rsidRPr="004649E6" w:rsidRDefault="00A11B4F" w:rsidP="00A11B4F">
            <w:pPr>
              <w:rPr>
                <w:rFonts w:ascii="Arial" w:hAnsi="Arial" w:cs="Arial"/>
                <w:b/>
                <w:sz w:val="24"/>
                <w:szCs w:val="24"/>
              </w:rPr>
            </w:pPr>
            <w:r>
              <w:rPr>
                <w:rFonts w:ascii="Arial" w:hAnsi="Arial" w:cs="Arial"/>
                <w:b/>
                <w:sz w:val="24"/>
                <w:szCs w:val="24"/>
              </w:rPr>
              <w:t>Proposal and reasons</w:t>
            </w:r>
            <w:r w:rsidR="00021480">
              <w:rPr>
                <w:rFonts w:ascii="Arial" w:hAnsi="Arial" w:cs="Arial"/>
                <w:b/>
                <w:sz w:val="24"/>
                <w:szCs w:val="24"/>
              </w:rPr>
              <w:t xml:space="preserve"> </w:t>
            </w:r>
          </w:p>
        </w:tc>
        <w:tc>
          <w:tcPr>
            <w:tcW w:w="6237" w:type="dxa"/>
          </w:tcPr>
          <w:p w14:paraId="2F53DDD0" w14:textId="77777777" w:rsidR="00021480" w:rsidRDefault="00021480" w:rsidP="004649E6">
            <w:pPr>
              <w:rPr>
                <w:rFonts w:ascii="Arial" w:hAnsi="Arial" w:cs="Arial"/>
                <w:b/>
                <w:sz w:val="24"/>
                <w:szCs w:val="24"/>
              </w:rPr>
            </w:pPr>
            <w:r>
              <w:rPr>
                <w:rFonts w:ascii="Arial" w:hAnsi="Arial" w:cs="Arial"/>
                <w:b/>
                <w:sz w:val="24"/>
                <w:szCs w:val="24"/>
              </w:rPr>
              <w:t>Proposed wording</w:t>
            </w:r>
          </w:p>
        </w:tc>
      </w:tr>
      <w:tr w:rsidR="00021480" w14:paraId="2FAC3B10" w14:textId="77777777" w:rsidTr="00A819BC">
        <w:tc>
          <w:tcPr>
            <w:tcW w:w="568" w:type="dxa"/>
            <w:shd w:val="clear" w:color="auto" w:fill="auto"/>
          </w:tcPr>
          <w:p w14:paraId="6A5CF7EB" w14:textId="76BAF2D2" w:rsidR="00021480" w:rsidRPr="00D95602" w:rsidRDefault="00D55185" w:rsidP="00021480">
            <w:pPr>
              <w:rPr>
                <w:rFonts w:ascii="Arial" w:hAnsi="Arial" w:cs="Arial"/>
                <w:sz w:val="24"/>
                <w:szCs w:val="24"/>
              </w:rPr>
            </w:pPr>
            <w:r>
              <w:rPr>
                <w:rFonts w:ascii="Arial" w:hAnsi="Arial" w:cs="Arial"/>
                <w:sz w:val="24"/>
                <w:szCs w:val="24"/>
              </w:rPr>
              <w:t>1</w:t>
            </w:r>
          </w:p>
        </w:tc>
        <w:tc>
          <w:tcPr>
            <w:tcW w:w="1985" w:type="dxa"/>
            <w:shd w:val="clear" w:color="auto" w:fill="auto"/>
          </w:tcPr>
          <w:p w14:paraId="7635DAF5" w14:textId="666FCECA" w:rsidR="00021480" w:rsidRPr="005D39AF" w:rsidRDefault="00021480" w:rsidP="00021480">
            <w:pPr>
              <w:rPr>
                <w:rFonts w:ascii="Arial" w:hAnsi="Arial" w:cs="Arial"/>
                <w:sz w:val="24"/>
                <w:szCs w:val="24"/>
              </w:rPr>
            </w:pPr>
            <w:r w:rsidRPr="00D95602">
              <w:rPr>
                <w:rFonts w:ascii="Arial" w:hAnsi="Arial" w:cs="Arial"/>
                <w:sz w:val="24"/>
                <w:szCs w:val="24"/>
              </w:rPr>
              <w:t>Part 3.7:</w:t>
            </w:r>
            <w:r>
              <w:rPr>
                <w:rFonts w:ascii="Arial" w:hAnsi="Arial" w:cs="Arial"/>
                <w:sz w:val="24"/>
                <w:szCs w:val="24"/>
              </w:rPr>
              <w:t xml:space="preserve"> The Council’s companies</w:t>
            </w:r>
          </w:p>
        </w:tc>
        <w:tc>
          <w:tcPr>
            <w:tcW w:w="6095" w:type="dxa"/>
            <w:shd w:val="clear" w:color="auto" w:fill="auto"/>
          </w:tcPr>
          <w:p w14:paraId="593015BC" w14:textId="76040874" w:rsidR="00021480" w:rsidRDefault="00BD3428" w:rsidP="00021480">
            <w:pPr>
              <w:rPr>
                <w:rFonts w:ascii="Arial" w:hAnsi="Arial" w:cs="Arial"/>
                <w:sz w:val="24"/>
                <w:szCs w:val="24"/>
              </w:rPr>
            </w:pPr>
            <w:r w:rsidRPr="00BD3428">
              <w:rPr>
                <w:rFonts w:ascii="Arial" w:hAnsi="Arial" w:cs="Arial"/>
                <w:b/>
                <w:sz w:val="24"/>
                <w:szCs w:val="24"/>
              </w:rPr>
              <w:t>Proposal:</w:t>
            </w:r>
            <w:r>
              <w:rPr>
                <w:rFonts w:ascii="Arial" w:hAnsi="Arial" w:cs="Arial"/>
                <w:sz w:val="24"/>
                <w:szCs w:val="24"/>
              </w:rPr>
              <w:t xml:space="preserve"> </w:t>
            </w:r>
            <w:r w:rsidR="00021480" w:rsidRPr="00021480">
              <w:rPr>
                <w:rFonts w:ascii="Arial" w:hAnsi="Arial" w:cs="Arial"/>
                <w:sz w:val="24"/>
                <w:szCs w:val="24"/>
              </w:rPr>
              <w:t>To include that the Shareholder and Joint Venture Group and Scrutiny may meet separately or simultaneously.</w:t>
            </w:r>
          </w:p>
          <w:p w14:paraId="52E78DE4" w14:textId="77777777" w:rsidR="00021480" w:rsidRPr="00D95602" w:rsidRDefault="00021480" w:rsidP="00021480">
            <w:pPr>
              <w:rPr>
                <w:rFonts w:ascii="Arial" w:hAnsi="Arial" w:cs="Arial"/>
                <w:sz w:val="24"/>
                <w:szCs w:val="24"/>
              </w:rPr>
            </w:pPr>
          </w:p>
          <w:p w14:paraId="0B1DCEAF" w14:textId="4A4DD54E" w:rsidR="00021480" w:rsidRDefault="00BD3428" w:rsidP="00021480">
            <w:pPr>
              <w:rPr>
                <w:rFonts w:ascii="Arial" w:hAnsi="Arial" w:cs="Arial"/>
                <w:sz w:val="24"/>
                <w:szCs w:val="24"/>
              </w:rPr>
            </w:pPr>
            <w:r w:rsidRPr="00BD3428">
              <w:rPr>
                <w:rFonts w:ascii="Arial" w:hAnsi="Arial" w:cs="Arial"/>
                <w:b/>
                <w:sz w:val="24"/>
                <w:szCs w:val="24"/>
              </w:rPr>
              <w:t>Background:</w:t>
            </w:r>
            <w:r>
              <w:rPr>
                <w:rFonts w:ascii="Arial" w:hAnsi="Arial" w:cs="Arial"/>
                <w:sz w:val="24"/>
                <w:szCs w:val="24"/>
              </w:rPr>
              <w:t xml:space="preserve"> </w:t>
            </w:r>
            <w:r w:rsidR="00021480" w:rsidRPr="00D95602">
              <w:rPr>
                <w:rFonts w:ascii="Arial" w:hAnsi="Arial" w:cs="Arial"/>
                <w:sz w:val="24"/>
                <w:szCs w:val="24"/>
              </w:rPr>
              <w:t>The SJVG and Scrutiny arrangements were recently revised by the Leader and the Scrutiny Committee and a report went to Council on 26 July. Members of the Companies Scrutiny Panel are already encouraged to attend meetings of the Shareholder and Joint Venture Group (SJVG) and contribute as non-voting members. As part of those discussions it was considered that the idea of simultaneous meetings should be referred to the Constitution Review Group for further consideration.</w:t>
            </w:r>
          </w:p>
        </w:tc>
        <w:tc>
          <w:tcPr>
            <w:tcW w:w="6237" w:type="dxa"/>
          </w:tcPr>
          <w:p w14:paraId="04477B74"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4557B542" w14:textId="77777777" w:rsidR="00021480" w:rsidRPr="00D95602" w:rsidRDefault="00021480" w:rsidP="00021480">
            <w:pPr>
              <w:rPr>
                <w:rFonts w:ascii="Arial" w:hAnsi="Arial" w:cs="Arial"/>
                <w:sz w:val="24"/>
                <w:szCs w:val="24"/>
              </w:rPr>
            </w:pPr>
            <w:r w:rsidRPr="00D95602">
              <w:rPr>
                <w:rFonts w:ascii="Arial" w:hAnsi="Arial" w:cs="Arial"/>
                <w:sz w:val="24"/>
                <w:szCs w:val="24"/>
              </w:rPr>
              <w:t>(c) Shareholding</w:t>
            </w:r>
          </w:p>
          <w:p w14:paraId="50D16D95"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118ED5C9" w14:textId="0D65C759" w:rsidR="00021480" w:rsidRPr="003979B5" w:rsidRDefault="00021480" w:rsidP="00021480">
            <w:pPr>
              <w:rPr>
                <w:rFonts w:ascii="Arial" w:hAnsi="Arial" w:cs="Arial"/>
                <w:sz w:val="24"/>
                <w:szCs w:val="24"/>
              </w:rPr>
            </w:pPr>
            <w:r w:rsidRPr="00D95602">
              <w:rPr>
                <w:rFonts w:ascii="Arial" w:hAnsi="Arial" w:cs="Arial"/>
                <w:sz w:val="24"/>
                <w:szCs w:val="24"/>
              </w:rPr>
              <w:t xml:space="preserve">The activities of the Shareholder and Joint Venture Group will be subject to consideration by the Council’s Scrutiny Committee. </w:t>
            </w:r>
            <w:r w:rsidRPr="00D95602">
              <w:rPr>
                <w:rFonts w:ascii="Arial" w:hAnsi="Arial" w:cs="Arial"/>
                <w:sz w:val="24"/>
                <w:szCs w:val="24"/>
                <w:u w:val="single"/>
              </w:rPr>
              <w:t>The Shareholder and Joint Venture Group and Scrutiny may meet separately or simultaneously.</w:t>
            </w:r>
          </w:p>
        </w:tc>
      </w:tr>
      <w:tr w:rsidR="00021480" w14:paraId="23E4752D" w14:textId="77777777" w:rsidTr="00A819BC">
        <w:tc>
          <w:tcPr>
            <w:tcW w:w="568" w:type="dxa"/>
            <w:shd w:val="clear" w:color="auto" w:fill="auto"/>
          </w:tcPr>
          <w:p w14:paraId="564D45DD" w14:textId="7D024FE8" w:rsidR="00021480" w:rsidRPr="005D39AF" w:rsidRDefault="00D55185" w:rsidP="003979B5">
            <w:pPr>
              <w:rPr>
                <w:rFonts w:ascii="Arial" w:hAnsi="Arial" w:cs="Arial"/>
                <w:sz w:val="24"/>
                <w:szCs w:val="24"/>
              </w:rPr>
            </w:pPr>
            <w:r>
              <w:rPr>
                <w:rFonts w:ascii="Arial" w:hAnsi="Arial" w:cs="Arial"/>
                <w:sz w:val="24"/>
                <w:szCs w:val="24"/>
              </w:rPr>
              <w:t>2</w:t>
            </w:r>
          </w:p>
        </w:tc>
        <w:tc>
          <w:tcPr>
            <w:tcW w:w="1985" w:type="dxa"/>
            <w:shd w:val="clear" w:color="auto" w:fill="auto"/>
          </w:tcPr>
          <w:p w14:paraId="2C4283E8" w14:textId="0EF13364" w:rsidR="00021480" w:rsidRPr="005D39AF" w:rsidRDefault="00021480" w:rsidP="003979B5">
            <w:pPr>
              <w:rPr>
                <w:rFonts w:ascii="Arial" w:hAnsi="Arial" w:cs="Arial"/>
                <w:sz w:val="24"/>
                <w:szCs w:val="24"/>
              </w:rPr>
            </w:pPr>
            <w:r w:rsidRPr="005D39AF">
              <w:rPr>
                <w:rFonts w:ascii="Arial" w:hAnsi="Arial" w:cs="Arial"/>
                <w:sz w:val="24"/>
                <w:szCs w:val="24"/>
              </w:rPr>
              <w:t>Part 4.5: Decisions that must be agreed by Cabinet</w:t>
            </w:r>
          </w:p>
          <w:p w14:paraId="47D5BFBB" w14:textId="75626CB3" w:rsidR="00021480" w:rsidRPr="005D39AF" w:rsidRDefault="00021480" w:rsidP="003979B5">
            <w:pPr>
              <w:rPr>
                <w:rFonts w:ascii="Arial" w:hAnsi="Arial" w:cs="Arial"/>
                <w:sz w:val="24"/>
                <w:szCs w:val="24"/>
              </w:rPr>
            </w:pPr>
          </w:p>
        </w:tc>
        <w:tc>
          <w:tcPr>
            <w:tcW w:w="6095" w:type="dxa"/>
          </w:tcPr>
          <w:p w14:paraId="789C4873" w14:textId="02919772" w:rsidR="00021480" w:rsidRDefault="00A11B4F" w:rsidP="00407748">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00021480" w:rsidRPr="00021480">
              <w:rPr>
                <w:rFonts w:ascii="Arial" w:hAnsi="Arial" w:cs="Arial"/>
                <w:sz w:val="24"/>
                <w:szCs w:val="24"/>
              </w:rPr>
              <w:t>To include a higher threshold for project approval from Cabinet of £1m for contract awards (all other project approvals to remain with Cabinet at £500k and above).</w:t>
            </w:r>
          </w:p>
          <w:p w14:paraId="58DC6EFF" w14:textId="77777777" w:rsidR="00021480" w:rsidRDefault="00021480" w:rsidP="00407748">
            <w:pPr>
              <w:rPr>
                <w:rFonts w:ascii="Arial" w:hAnsi="Arial" w:cs="Arial"/>
                <w:sz w:val="24"/>
                <w:szCs w:val="24"/>
              </w:rPr>
            </w:pPr>
          </w:p>
          <w:p w14:paraId="6E29373B" w14:textId="4AD6D5FE" w:rsidR="00021480" w:rsidRDefault="00A11B4F" w:rsidP="00FD36A3">
            <w:pPr>
              <w:rPr>
                <w:rFonts w:ascii="Arial" w:hAnsi="Arial" w:cs="Arial"/>
                <w:sz w:val="24"/>
                <w:szCs w:val="24"/>
              </w:rPr>
            </w:pPr>
            <w:r w:rsidRPr="00A11B4F">
              <w:rPr>
                <w:rFonts w:ascii="Arial" w:hAnsi="Arial" w:cs="Arial"/>
                <w:b/>
                <w:sz w:val="24"/>
                <w:szCs w:val="24"/>
              </w:rPr>
              <w:t>Rationale:</w:t>
            </w:r>
            <w:r>
              <w:rPr>
                <w:rFonts w:ascii="Arial" w:hAnsi="Arial" w:cs="Arial"/>
                <w:sz w:val="24"/>
                <w:szCs w:val="24"/>
              </w:rPr>
              <w:t xml:space="preserve"> </w:t>
            </w:r>
            <w:r w:rsidR="00021480" w:rsidRPr="00021480">
              <w:rPr>
                <w:rFonts w:ascii="Arial" w:hAnsi="Arial" w:cs="Arial"/>
                <w:sz w:val="24"/>
                <w:szCs w:val="24"/>
              </w:rPr>
              <w:t>Currently officers have delegated authority to award contracts up to the value of £1m however the threshold for Cabinet to grant project approval is £500k (which applies to some contract awards). This change would enable officers to award contracts up to the value of £1m without any authorisation from Cabinet.</w:t>
            </w:r>
          </w:p>
        </w:tc>
        <w:tc>
          <w:tcPr>
            <w:tcW w:w="6237" w:type="dxa"/>
          </w:tcPr>
          <w:p w14:paraId="715CAFE8" w14:textId="72C2DB1D" w:rsidR="00021480" w:rsidRPr="003979B5" w:rsidRDefault="00021480" w:rsidP="00F55F57">
            <w:pPr>
              <w:rPr>
                <w:rFonts w:ascii="Arial" w:hAnsi="Arial" w:cs="Arial"/>
                <w:sz w:val="24"/>
                <w:szCs w:val="24"/>
                <w:u w:val="single"/>
              </w:rPr>
            </w:pPr>
            <w:r w:rsidRPr="003979B5">
              <w:rPr>
                <w:rFonts w:ascii="Arial" w:hAnsi="Arial" w:cs="Arial"/>
                <w:sz w:val="24"/>
                <w:szCs w:val="24"/>
              </w:rPr>
              <w:t>,,</w:t>
            </w:r>
            <w:proofErr w:type="gramStart"/>
            <w:r w:rsidRPr="003979B5">
              <w:rPr>
                <w:rFonts w:ascii="Arial" w:hAnsi="Arial" w:cs="Arial"/>
                <w:sz w:val="24"/>
                <w:szCs w:val="24"/>
              </w:rPr>
              <w:t>,10</w:t>
            </w:r>
            <w:proofErr w:type="gramEnd"/>
            <w:r w:rsidRPr="003979B5">
              <w:rPr>
                <w:rFonts w:ascii="Arial" w:hAnsi="Arial" w:cs="Arial"/>
                <w:sz w:val="24"/>
                <w:szCs w:val="24"/>
              </w:rPr>
              <w:t xml:space="preserve">. giving project approval for projects of £500,000 or over </w:t>
            </w:r>
            <w:r w:rsidRPr="003979B5">
              <w:rPr>
                <w:rFonts w:ascii="Arial" w:hAnsi="Arial" w:cs="Arial"/>
                <w:sz w:val="24"/>
                <w:szCs w:val="24"/>
                <w:u w:val="single"/>
              </w:rPr>
              <w:t>(</w:t>
            </w:r>
            <w:r>
              <w:rPr>
                <w:rFonts w:ascii="Arial" w:hAnsi="Arial" w:cs="Arial"/>
                <w:sz w:val="24"/>
                <w:szCs w:val="24"/>
                <w:u w:val="single"/>
              </w:rPr>
              <w:t>£1,000,000 for contract awards)</w:t>
            </w:r>
          </w:p>
          <w:p w14:paraId="3E38CB85" w14:textId="77777777" w:rsidR="00021480" w:rsidRPr="002875AA" w:rsidRDefault="00021480" w:rsidP="00F55F57">
            <w:pPr>
              <w:rPr>
                <w:rFonts w:ascii="Arial" w:hAnsi="Arial" w:cs="Arial"/>
                <w:sz w:val="24"/>
                <w:szCs w:val="24"/>
                <w:u w:val="single"/>
              </w:rPr>
            </w:pPr>
          </w:p>
        </w:tc>
      </w:tr>
      <w:tr w:rsidR="00021480" w14:paraId="18C02BC1" w14:textId="77777777" w:rsidTr="00A819BC">
        <w:tc>
          <w:tcPr>
            <w:tcW w:w="568" w:type="dxa"/>
            <w:shd w:val="clear" w:color="auto" w:fill="auto"/>
          </w:tcPr>
          <w:p w14:paraId="6B79C7C9" w14:textId="5CC06D97" w:rsidR="00021480" w:rsidRPr="00D95602" w:rsidRDefault="00D55185" w:rsidP="00021480">
            <w:pPr>
              <w:rPr>
                <w:rFonts w:ascii="Arial" w:hAnsi="Arial" w:cs="Arial"/>
                <w:sz w:val="24"/>
                <w:szCs w:val="24"/>
              </w:rPr>
            </w:pPr>
            <w:r>
              <w:rPr>
                <w:rFonts w:ascii="Arial" w:hAnsi="Arial" w:cs="Arial"/>
                <w:sz w:val="24"/>
                <w:szCs w:val="24"/>
              </w:rPr>
              <w:t>3</w:t>
            </w:r>
          </w:p>
        </w:tc>
        <w:tc>
          <w:tcPr>
            <w:tcW w:w="1985" w:type="dxa"/>
            <w:shd w:val="clear" w:color="auto" w:fill="auto"/>
          </w:tcPr>
          <w:p w14:paraId="267F7338" w14:textId="43353688" w:rsidR="00021480" w:rsidRPr="00D95602" w:rsidRDefault="00021480" w:rsidP="00021480">
            <w:pPr>
              <w:rPr>
                <w:rFonts w:ascii="Arial" w:hAnsi="Arial" w:cs="Arial"/>
                <w:sz w:val="24"/>
                <w:szCs w:val="24"/>
              </w:rPr>
            </w:pPr>
            <w:r w:rsidRPr="00D95602">
              <w:rPr>
                <w:rFonts w:ascii="Arial" w:hAnsi="Arial" w:cs="Arial"/>
                <w:sz w:val="24"/>
                <w:szCs w:val="24"/>
              </w:rPr>
              <w:t>Part 4.6: Delegation to single Cabinet Members</w:t>
            </w:r>
          </w:p>
          <w:p w14:paraId="0273F0CE" w14:textId="77777777" w:rsidR="00021480" w:rsidRPr="00D95602" w:rsidRDefault="00021480" w:rsidP="00021480">
            <w:pPr>
              <w:rPr>
                <w:rFonts w:ascii="Arial" w:hAnsi="Arial" w:cs="Arial"/>
                <w:sz w:val="24"/>
                <w:szCs w:val="24"/>
              </w:rPr>
            </w:pPr>
          </w:p>
          <w:p w14:paraId="34E9D0EC" w14:textId="77777777" w:rsidR="00021480" w:rsidRPr="00D95602" w:rsidRDefault="00021480" w:rsidP="00021480">
            <w:pPr>
              <w:jc w:val="center"/>
              <w:rPr>
                <w:rFonts w:ascii="Arial" w:hAnsi="Arial" w:cs="Arial"/>
                <w:sz w:val="24"/>
                <w:szCs w:val="24"/>
              </w:rPr>
            </w:pPr>
          </w:p>
          <w:p w14:paraId="5847EED1" w14:textId="77777777" w:rsidR="00021480" w:rsidRPr="00AF3F87" w:rsidRDefault="00021480" w:rsidP="00021480">
            <w:pPr>
              <w:rPr>
                <w:rFonts w:ascii="Arial" w:hAnsi="Arial" w:cs="Arial"/>
                <w:sz w:val="24"/>
                <w:szCs w:val="24"/>
              </w:rPr>
            </w:pPr>
          </w:p>
        </w:tc>
        <w:tc>
          <w:tcPr>
            <w:tcW w:w="6095" w:type="dxa"/>
            <w:shd w:val="clear" w:color="auto" w:fill="auto"/>
          </w:tcPr>
          <w:p w14:paraId="515B7E47" w14:textId="77777777" w:rsidR="00A11B4F" w:rsidRDefault="00A11B4F" w:rsidP="00021480">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00021480" w:rsidRPr="00D95602">
              <w:rPr>
                <w:rFonts w:ascii="Arial" w:hAnsi="Arial" w:cs="Arial"/>
                <w:sz w:val="24"/>
                <w:szCs w:val="24"/>
              </w:rPr>
              <w:t xml:space="preserve">To include the principle that an officer report will be published 5 clear days before a decision is taken by an individual Cabinet Member – akin to any other executive decisions that are taken by Cabinet or the Shareholder and Joint Venture Group, where the reports and agenda are published 5 clear working days before the meeting. </w:t>
            </w:r>
          </w:p>
          <w:p w14:paraId="613C4B4F" w14:textId="77777777" w:rsidR="00A11B4F" w:rsidRDefault="00A11B4F" w:rsidP="00021480">
            <w:pPr>
              <w:rPr>
                <w:rFonts w:ascii="Arial" w:hAnsi="Arial" w:cs="Arial"/>
                <w:sz w:val="24"/>
                <w:szCs w:val="24"/>
              </w:rPr>
            </w:pPr>
          </w:p>
          <w:p w14:paraId="0900CF86" w14:textId="7BCDD7B8" w:rsidR="00021480" w:rsidRPr="00D95602" w:rsidRDefault="00A11B4F" w:rsidP="00021480">
            <w:pPr>
              <w:rPr>
                <w:rFonts w:ascii="Arial" w:hAnsi="Arial" w:cs="Arial"/>
                <w:sz w:val="24"/>
                <w:szCs w:val="24"/>
              </w:rPr>
            </w:pPr>
            <w:r>
              <w:rPr>
                <w:rFonts w:ascii="Arial" w:hAnsi="Arial" w:cs="Arial"/>
                <w:b/>
                <w:sz w:val="24"/>
                <w:szCs w:val="24"/>
              </w:rPr>
              <w:lastRenderedPageBreak/>
              <w:t xml:space="preserve">Rationale: </w:t>
            </w:r>
            <w:r>
              <w:rPr>
                <w:rFonts w:ascii="Arial" w:hAnsi="Arial" w:cs="Arial"/>
                <w:sz w:val="24"/>
                <w:szCs w:val="24"/>
              </w:rPr>
              <w:t xml:space="preserve">To </w:t>
            </w:r>
            <w:r w:rsidR="00021480" w:rsidRPr="00D95602">
              <w:rPr>
                <w:rFonts w:ascii="Arial" w:hAnsi="Arial" w:cs="Arial"/>
                <w:sz w:val="24"/>
                <w:szCs w:val="24"/>
              </w:rPr>
              <w:t>promote transparency so the public knows what decisions are being made, but also</w:t>
            </w:r>
            <w:r>
              <w:rPr>
                <w:rFonts w:ascii="Arial" w:hAnsi="Arial" w:cs="Arial"/>
                <w:sz w:val="24"/>
                <w:szCs w:val="24"/>
              </w:rPr>
              <w:t xml:space="preserve"> to promote the visibility of such decisions to M</w:t>
            </w:r>
            <w:r w:rsidR="00021480" w:rsidRPr="00D95602">
              <w:rPr>
                <w:rFonts w:ascii="Arial" w:hAnsi="Arial" w:cs="Arial"/>
                <w:sz w:val="24"/>
                <w:szCs w:val="24"/>
              </w:rPr>
              <w:t>embers.</w:t>
            </w:r>
          </w:p>
          <w:p w14:paraId="7F25ED5D" w14:textId="77777777" w:rsidR="00021480" w:rsidRPr="00D95602" w:rsidRDefault="00021480" w:rsidP="00021480">
            <w:pPr>
              <w:rPr>
                <w:rFonts w:ascii="Arial" w:hAnsi="Arial" w:cs="Arial"/>
                <w:sz w:val="24"/>
                <w:szCs w:val="24"/>
              </w:rPr>
            </w:pPr>
          </w:p>
          <w:p w14:paraId="5AA1A776" w14:textId="36C2724E" w:rsidR="00021480" w:rsidRDefault="00021480" w:rsidP="00A11B4F">
            <w:pPr>
              <w:rPr>
                <w:rFonts w:ascii="Arial" w:hAnsi="Arial" w:cs="Arial"/>
                <w:sz w:val="24"/>
                <w:szCs w:val="24"/>
              </w:rPr>
            </w:pPr>
            <w:r w:rsidRPr="00A11B4F">
              <w:rPr>
                <w:rFonts w:ascii="Arial" w:hAnsi="Arial" w:cs="Arial"/>
                <w:b/>
                <w:sz w:val="24"/>
                <w:szCs w:val="24"/>
              </w:rPr>
              <w:t>Background:</w:t>
            </w:r>
            <w:r w:rsidRPr="00D95602">
              <w:rPr>
                <w:rFonts w:ascii="Arial" w:hAnsi="Arial" w:cs="Arial"/>
                <w:sz w:val="24"/>
                <w:szCs w:val="24"/>
              </w:rPr>
              <w:t xml:space="preserve"> The law allows for executive decisions to be taken by an individual Cabinet Member but this has generally not been the Council’s preferred approach to decision making. There is one delegation to a Cabinet Member in relation to the Council’s C</w:t>
            </w:r>
            <w:r w:rsidR="00A11B4F">
              <w:rPr>
                <w:rFonts w:ascii="Arial" w:hAnsi="Arial" w:cs="Arial"/>
                <w:sz w:val="24"/>
                <w:szCs w:val="24"/>
              </w:rPr>
              <w:t>ommercial Property Strategy. P</w:t>
            </w:r>
            <w:r w:rsidRPr="00D95602">
              <w:rPr>
                <w:rFonts w:ascii="Arial" w:hAnsi="Arial" w:cs="Arial"/>
                <w:sz w:val="24"/>
                <w:szCs w:val="24"/>
              </w:rPr>
              <w:t xml:space="preserve">rovisions for single Cabinet Member decisions were added to the Constitution in February 2021. </w:t>
            </w:r>
          </w:p>
        </w:tc>
        <w:tc>
          <w:tcPr>
            <w:tcW w:w="6237" w:type="dxa"/>
          </w:tcPr>
          <w:p w14:paraId="1D4F2B8D" w14:textId="77777777" w:rsidR="00021480" w:rsidRPr="00D95602" w:rsidRDefault="00021480" w:rsidP="00021480">
            <w:pPr>
              <w:rPr>
                <w:rFonts w:ascii="Arial" w:hAnsi="Arial" w:cs="Arial"/>
                <w:sz w:val="24"/>
                <w:szCs w:val="24"/>
              </w:rPr>
            </w:pPr>
            <w:r w:rsidRPr="00D95602">
              <w:rPr>
                <w:rFonts w:ascii="Arial" w:hAnsi="Arial" w:cs="Arial"/>
                <w:sz w:val="24"/>
                <w:szCs w:val="24"/>
              </w:rPr>
              <w:lastRenderedPageBreak/>
              <w:t>…</w:t>
            </w:r>
          </w:p>
          <w:p w14:paraId="01467DE5" w14:textId="77777777" w:rsidR="00021480" w:rsidRPr="00D95602" w:rsidRDefault="00021480" w:rsidP="00021480">
            <w:pPr>
              <w:rPr>
                <w:rFonts w:ascii="Arial" w:hAnsi="Arial" w:cs="Arial"/>
                <w:b/>
                <w:i/>
                <w:sz w:val="24"/>
                <w:szCs w:val="24"/>
              </w:rPr>
            </w:pPr>
            <w:r w:rsidRPr="00D95602">
              <w:rPr>
                <w:rFonts w:ascii="Arial" w:hAnsi="Arial" w:cs="Arial"/>
                <w:sz w:val="24"/>
                <w:szCs w:val="24"/>
              </w:rPr>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r w:rsidRPr="00D95602">
              <w:rPr>
                <w:rFonts w:ascii="Arial" w:hAnsi="Arial" w:cs="Arial"/>
                <w:sz w:val="24"/>
                <w:szCs w:val="24"/>
                <w:u w:val="single"/>
              </w:rPr>
              <w:t xml:space="preserve">The officer report will be published 5 clear </w:t>
            </w:r>
            <w:r w:rsidRPr="00D95602">
              <w:rPr>
                <w:rFonts w:ascii="Arial" w:hAnsi="Arial" w:cs="Arial"/>
                <w:sz w:val="24"/>
                <w:szCs w:val="24"/>
                <w:u w:val="single"/>
              </w:rPr>
              <w:lastRenderedPageBreak/>
              <w:t xml:space="preserve">working days before the decision is confirmed by the Cabinet Member unless consent of the Leader is given. </w:t>
            </w:r>
          </w:p>
          <w:p w14:paraId="08585A1D"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4085CC8C" w14:textId="77777777" w:rsidR="00021480" w:rsidRPr="00D95602" w:rsidRDefault="00021480" w:rsidP="00021480">
            <w:pPr>
              <w:rPr>
                <w:rFonts w:ascii="Arial" w:hAnsi="Arial" w:cs="Arial"/>
                <w:sz w:val="24"/>
                <w:szCs w:val="24"/>
              </w:rPr>
            </w:pPr>
          </w:p>
          <w:p w14:paraId="06A23B0E" w14:textId="6804FD2C" w:rsidR="00021480" w:rsidRDefault="00021480" w:rsidP="00021480">
            <w:pPr>
              <w:rPr>
                <w:rFonts w:ascii="Arial" w:hAnsi="Arial" w:cs="Arial"/>
                <w:i/>
                <w:sz w:val="24"/>
                <w:szCs w:val="24"/>
                <w:highlight w:val="magenta"/>
              </w:rPr>
            </w:pPr>
            <w:r w:rsidRPr="00D95602">
              <w:rPr>
                <w:rFonts w:ascii="Arial" w:hAnsi="Arial" w:cs="Arial"/>
                <w:sz w:val="24"/>
                <w:szCs w:val="24"/>
              </w:rPr>
              <w:t>.</w:t>
            </w:r>
          </w:p>
        </w:tc>
      </w:tr>
      <w:tr w:rsidR="00021480" w14:paraId="4146C0B6" w14:textId="77777777" w:rsidTr="00A819BC">
        <w:tc>
          <w:tcPr>
            <w:tcW w:w="568" w:type="dxa"/>
            <w:shd w:val="clear" w:color="auto" w:fill="auto"/>
          </w:tcPr>
          <w:p w14:paraId="20CE41E4" w14:textId="5D3932DD" w:rsidR="00021480" w:rsidRPr="00D95602" w:rsidRDefault="00D55185" w:rsidP="00021480">
            <w:pPr>
              <w:rPr>
                <w:rFonts w:ascii="Arial" w:hAnsi="Arial" w:cs="Arial"/>
                <w:sz w:val="24"/>
                <w:szCs w:val="24"/>
              </w:rPr>
            </w:pPr>
            <w:r>
              <w:rPr>
                <w:rFonts w:ascii="Arial" w:hAnsi="Arial" w:cs="Arial"/>
                <w:sz w:val="24"/>
                <w:szCs w:val="24"/>
              </w:rPr>
              <w:lastRenderedPageBreak/>
              <w:t>4</w:t>
            </w:r>
          </w:p>
        </w:tc>
        <w:tc>
          <w:tcPr>
            <w:tcW w:w="1985" w:type="dxa"/>
            <w:shd w:val="clear" w:color="auto" w:fill="auto"/>
          </w:tcPr>
          <w:p w14:paraId="3125778D" w14:textId="39F255B1" w:rsidR="00021480" w:rsidRPr="00D95602" w:rsidRDefault="00021480" w:rsidP="00021480">
            <w:pPr>
              <w:rPr>
                <w:rFonts w:ascii="Arial" w:hAnsi="Arial" w:cs="Arial"/>
                <w:sz w:val="24"/>
                <w:szCs w:val="24"/>
              </w:rPr>
            </w:pPr>
            <w:r w:rsidRPr="00D95602">
              <w:rPr>
                <w:rFonts w:ascii="Arial" w:hAnsi="Arial" w:cs="Arial"/>
                <w:sz w:val="24"/>
                <w:szCs w:val="24"/>
              </w:rPr>
              <w:t>Part 5.3 Planning</w:t>
            </w:r>
          </w:p>
          <w:p w14:paraId="056836E4" w14:textId="77777777" w:rsidR="00021480" w:rsidRPr="00D95602" w:rsidRDefault="00021480" w:rsidP="00021480">
            <w:pPr>
              <w:rPr>
                <w:rFonts w:ascii="Arial" w:hAnsi="Arial" w:cs="Arial"/>
                <w:sz w:val="24"/>
                <w:szCs w:val="24"/>
              </w:rPr>
            </w:pPr>
          </w:p>
          <w:p w14:paraId="4F0AC0AC" w14:textId="77777777" w:rsidR="00021480" w:rsidRPr="00AF3F87" w:rsidRDefault="00021480" w:rsidP="00021480">
            <w:pPr>
              <w:rPr>
                <w:rFonts w:ascii="Arial" w:hAnsi="Arial" w:cs="Arial"/>
                <w:sz w:val="24"/>
                <w:szCs w:val="24"/>
              </w:rPr>
            </w:pPr>
          </w:p>
        </w:tc>
        <w:tc>
          <w:tcPr>
            <w:tcW w:w="6095" w:type="dxa"/>
            <w:shd w:val="clear" w:color="auto" w:fill="auto"/>
          </w:tcPr>
          <w:p w14:paraId="0A0E8274" w14:textId="394E3B1B" w:rsidR="00021480" w:rsidRPr="00D95602" w:rsidRDefault="00A11B4F" w:rsidP="00021480">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00021480" w:rsidRPr="00D95602">
              <w:rPr>
                <w:rFonts w:ascii="Arial" w:hAnsi="Arial" w:cs="Arial"/>
                <w:sz w:val="24"/>
                <w:szCs w:val="24"/>
              </w:rPr>
              <w:t xml:space="preserve">To consider including a rule that planning applications in which the Council has a financial interest </w:t>
            </w:r>
            <w:r w:rsidR="00A819BC">
              <w:rPr>
                <w:rFonts w:ascii="Arial" w:hAnsi="Arial" w:cs="Arial"/>
                <w:sz w:val="24"/>
                <w:szCs w:val="24"/>
              </w:rPr>
              <w:t xml:space="preserve">of over £1m </w:t>
            </w:r>
            <w:r w:rsidR="00FD36A3">
              <w:rPr>
                <w:rFonts w:ascii="Arial" w:hAnsi="Arial" w:cs="Arial"/>
                <w:sz w:val="24"/>
                <w:szCs w:val="24"/>
              </w:rPr>
              <w:t xml:space="preserve">(excluding treasury management holdings) </w:t>
            </w:r>
            <w:r w:rsidR="00021480" w:rsidRPr="00D95602">
              <w:rPr>
                <w:rFonts w:ascii="Arial" w:hAnsi="Arial" w:cs="Arial"/>
                <w:sz w:val="24"/>
                <w:szCs w:val="24"/>
              </w:rPr>
              <w:t>must be determined by the Oxford City Planning Committee rather than officers for transparency.</w:t>
            </w:r>
          </w:p>
          <w:p w14:paraId="69AF4367" w14:textId="77777777" w:rsidR="00021480" w:rsidRPr="00D95602" w:rsidRDefault="00021480" w:rsidP="00021480">
            <w:pPr>
              <w:rPr>
                <w:rFonts w:ascii="Arial" w:hAnsi="Arial" w:cs="Arial"/>
                <w:sz w:val="24"/>
                <w:szCs w:val="24"/>
              </w:rPr>
            </w:pPr>
          </w:p>
          <w:p w14:paraId="6A8E56F5" w14:textId="4A471EF4" w:rsidR="00021480" w:rsidRDefault="00021480" w:rsidP="00021480">
            <w:pPr>
              <w:rPr>
                <w:rFonts w:ascii="Arial" w:hAnsi="Arial" w:cs="Arial"/>
                <w:sz w:val="24"/>
                <w:szCs w:val="24"/>
              </w:rPr>
            </w:pPr>
            <w:r w:rsidRPr="00A11B4F">
              <w:rPr>
                <w:rFonts w:ascii="Arial" w:hAnsi="Arial" w:cs="Arial"/>
                <w:b/>
                <w:sz w:val="24"/>
                <w:szCs w:val="24"/>
              </w:rPr>
              <w:t>Example:</w:t>
            </w:r>
            <w:r w:rsidRPr="00D95602">
              <w:rPr>
                <w:rFonts w:ascii="Arial" w:hAnsi="Arial" w:cs="Arial"/>
                <w:sz w:val="24"/>
                <w:szCs w:val="24"/>
              </w:rPr>
              <w:t xml:space="preserve"> A planning application submitted by </w:t>
            </w:r>
            <w:proofErr w:type="spellStart"/>
            <w:r w:rsidRPr="00D95602">
              <w:rPr>
                <w:rFonts w:ascii="Arial" w:hAnsi="Arial" w:cs="Arial"/>
                <w:sz w:val="24"/>
                <w:szCs w:val="24"/>
              </w:rPr>
              <w:t>Lothbury</w:t>
            </w:r>
            <w:proofErr w:type="spellEnd"/>
            <w:r w:rsidRPr="00D95602">
              <w:rPr>
                <w:rFonts w:ascii="Arial" w:hAnsi="Arial" w:cs="Arial"/>
                <w:sz w:val="24"/>
                <w:szCs w:val="24"/>
              </w:rPr>
              <w:t xml:space="preserve"> Estates, in which the Council has invested £7m and receives quarterly dividend payments, would have to be determined by committee by default.</w:t>
            </w:r>
          </w:p>
        </w:tc>
        <w:tc>
          <w:tcPr>
            <w:tcW w:w="6237" w:type="dxa"/>
          </w:tcPr>
          <w:p w14:paraId="044E49C1"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4A7028A3" w14:textId="77777777" w:rsidR="00021480" w:rsidRPr="00D95602" w:rsidRDefault="00021480" w:rsidP="00021480">
            <w:pPr>
              <w:rPr>
                <w:rFonts w:ascii="Arial" w:hAnsi="Arial" w:cs="Arial"/>
                <w:sz w:val="24"/>
                <w:szCs w:val="24"/>
              </w:rPr>
            </w:pPr>
            <w:r w:rsidRPr="00D95602">
              <w:rPr>
                <w:rFonts w:ascii="Arial" w:hAnsi="Arial" w:cs="Arial"/>
                <w:sz w:val="24"/>
                <w:szCs w:val="24"/>
              </w:rPr>
              <w:t>(b)</w:t>
            </w:r>
          </w:p>
          <w:p w14:paraId="4BD3BF8B"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15681888" w14:textId="77777777" w:rsidR="00021480" w:rsidRPr="00D95602" w:rsidRDefault="00021480" w:rsidP="00021480">
            <w:pPr>
              <w:rPr>
                <w:rFonts w:ascii="Arial" w:hAnsi="Arial" w:cs="Arial"/>
                <w:sz w:val="24"/>
                <w:szCs w:val="24"/>
              </w:rPr>
            </w:pPr>
            <w:r w:rsidRPr="00D95602">
              <w:rPr>
                <w:rFonts w:ascii="Arial" w:hAnsi="Arial" w:cs="Arial"/>
                <w:sz w:val="24"/>
                <w:szCs w:val="24"/>
              </w:rPr>
              <w:t>The Oxford City Planning Committee will be responsible for:</w:t>
            </w:r>
          </w:p>
          <w:p w14:paraId="5581D57F" w14:textId="77777777" w:rsidR="00021480" w:rsidRPr="00D95602" w:rsidRDefault="00021480" w:rsidP="00021480">
            <w:pPr>
              <w:rPr>
                <w:rFonts w:ascii="Arial" w:hAnsi="Arial" w:cs="Arial"/>
                <w:sz w:val="24"/>
                <w:szCs w:val="24"/>
              </w:rPr>
            </w:pPr>
            <w:r w:rsidRPr="00D95602">
              <w:rPr>
                <w:rFonts w:ascii="Arial" w:hAnsi="Arial" w:cs="Arial"/>
                <w:sz w:val="24"/>
                <w:szCs w:val="24"/>
              </w:rPr>
              <w:t>…</w:t>
            </w:r>
          </w:p>
          <w:p w14:paraId="70E85CE6" w14:textId="6FDCDBCD" w:rsidR="00021480" w:rsidRPr="00D95602" w:rsidRDefault="00021480" w:rsidP="00021480">
            <w:pPr>
              <w:rPr>
                <w:rFonts w:ascii="Arial" w:hAnsi="Arial" w:cs="Arial"/>
                <w:sz w:val="24"/>
                <w:szCs w:val="24"/>
                <w:u w:val="single"/>
              </w:rPr>
            </w:pPr>
            <w:proofErr w:type="gramStart"/>
            <w:r w:rsidRPr="00D95602">
              <w:rPr>
                <w:rFonts w:ascii="Arial" w:hAnsi="Arial" w:cs="Arial"/>
                <w:sz w:val="24"/>
                <w:szCs w:val="24"/>
                <w:u w:val="single"/>
              </w:rPr>
              <w:t>deciding</w:t>
            </w:r>
            <w:proofErr w:type="gramEnd"/>
            <w:r w:rsidRPr="00D95602">
              <w:rPr>
                <w:rFonts w:ascii="Arial" w:hAnsi="Arial" w:cs="Arial"/>
                <w:sz w:val="24"/>
                <w:szCs w:val="24"/>
                <w:u w:val="single"/>
              </w:rPr>
              <w:t xml:space="preserve"> planning applications submitted by organisations in which the Council has a direct financial interest</w:t>
            </w:r>
            <w:r w:rsidR="00350778">
              <w:rPr>
                <w:rFonts w:ascii="Arial" w:hAnsi="Arial" w:cs="Arial"/>
                <w:sz w:val="24"/>
                <w:szCs w:val="24"/>
                <w:u w:val="single"/>
              </w:rPr>
              <w:t xml:space="preserve"> of £1m or greater</w:t>
            </w:r>
            <w:r w:rsidRPr="00D95602">
              <w:rPr>
                <w:rFonts w:ascii="Arial" w:hAnsi="Arial" w:cs="Arial"/>
                <w:sz w:val="24"/>
                <w:szCs w:val="24"/>
                <w:u w:val="single"/>
              </w:rPr>
              <w:t xml:space="preserve">, excluding treasury management holdings. </w:t>
            </w:r>
          </w:p>
          <w:p w14:paraId="71AAD1FD" w14:textId="1D40D5BF" w:rsidR="00021480" w:rsidRDefault="00021480" w:rsidP="00021480">
            <w:pPr>
              <w:rPr>
                <w:rFonts w:ascii="Arial" w:hAnsi="Arial" w:cs="Arial"/>
                <w:i/>
                <w:sz w:val="24"/>
                <w:szCs w:val="24"/>
                <w:highlight w:val="magenta"/>
              </w:rPr>
            </w:pPr>
            <w:r w:rsidRPr="00D95602">
              <w:rPr>
                <w:rFonts w:ascii="Arial" w:hAnsi="Arial" w:cs="Arial"/>
                <w:sz w:val="24"/>
                <w:szCs w:val="24"/>
              </w:rPr>
              <w:t>…</w:t>
            </w:r>
          </w:p>
        </w:tc>
      </w:tr>
      <w:tr w:rsidR="00D55185" w14:paraId="3F652667" w14:textId="77777777" w:rsidTr="00B3585E">
        <w:tc>
          <w:tcPr>
            <w:tcW w:w="568" w:type="dxa"/>
            <w:shd w:val="clear" w:color="auto" w:fill="auto"/>
          </w:tcPr>
          <w:p w14:paraId="2AE74A25" w14:textId="76612F89" w:rsidR="00D55185" w:rsidRPr="007078C1" w:rsidRDefault="00D55185" w:rsidP="00D55185">
            <w:pPr>
              <w:rPr>
                <w:rFonts w:ascii="Arial" w:hAnsi="Arial" w:cs="Arial"/>
                <w:sz w:val="24"/>
                <w:szCs w:val="24"/>
              </w:rPr>
            </w:pPr>
            <w:r>
              <w:rPr>
                <w:rFonts w:ascii="Arial" w:hAnsi="Arial" w:cs="Arial"/>
                <w:sz w:val="24"/>
                <w:szCs w:val="24"/>
              </w:rPr>
              <w:t>5</w:t>
            </w:r>
          </w:p>
        </w:tc>
        <w:tc>
          <w:tcPr>
            <w:tcW w:w="1985" w:type="dxa"/>
            <w:shd w:val="clear" w:color="auto" w:fill="auto"/>
          </w:tcPr>
          <w:p w14:paraId="06142C16" w14:textId="51443FD6" w:rsidR="00D55185" w:rsidRDefault="00D55185" w:rsidP="00D55185">
            <w:pPr>
              <w:rPr>
                <w:rFonts w:ascii="Arial" w:hAnsi="Arial" w:cs="Arial"/>
                <w:sz w:val="24"/>
                <w:szCs w:val="24"/>
              </w:rPr>
            </w:pPr>
            <w:r w:rsidRPr="00C540F1">
              <w:rPr>
                <w:rFonts w:ascii="Arial" w:hAnsi="Arial" w:cs="Arial"/>
                <w:sz w:val="24"/>
                <w:szCs w:val="24"/>
              </w:rPr>
              <w:t xml:space="preserve">Part 9.3(b) </w:t>
            </w:r>
          </w:p>
        </w:tc>
        <w:tc>
          <w:tcPr>
            <w:tcW w:w="6095" w:type="dxa"/>
            <w:shd w:val="clear" w:color="auto" w:fill="auto"/>
          </w:tcPr>
          <w:p w14:paraId="4251C60A" w14:textId="77777777" w:rsidR="00D55185" w:rsidRPr="00C540F1" w:rsidRDefault="00D55185" w:rsidP="00D55185">
            <w:pPr>
              <w:rPr>
                <w:rFonts w:ascii="Arial" w:hAnsi="Arial" w:cs="Arial"/>
                <w:sz w:val="24"/>
                <w:szCs w:val="24"/>
              </w:rPr>
            </w:pPr>
            <w:r w:rsidRPr="00C540F1">
              <w:rPr>
                <w:rFonts w:ascii="Arial" w:hAnsi="Arial" w:cs="Arial"/>
                <w:b/>
                <w:sz w:val="24"/>
                <w:szCs w:val="24"/>
              </w:rPr>
              <w:t xml:space="preserve">Proposal: </w:t>
            </w:r>
            <w:r w:rsidRPr="00C540F1">
              <w:rPr>
                <w:rFonts w:ascii="Arial" w:hAnsi="Arial" w:cs="Arial"/>
                <w:sz w:val="24"/>
                <w:szCs w:val="24"/>
              </w:rPr>
              <w:t>To amend the requirement for the Chief Executive to report to the Appointments Committee every 6 months so that this requirement only applies where the Chief Executive has made changes to the senior management structure.</w:t>
            </w:r>
          </w:p>
          <w:p w14:paraId="56274A8B" w14:textId="77777777" w:rsidR="00D55185" w:rsidRPr="00C540F1" w:rsidRDefault="00D55185" w:rsidP="00D55185">
            <w:pPr>
              <w:rPr>
                <w:rFonts w:ascii="Arial" w:hAnsi="Arial" w:cs="Arial"/>
                <w:sz w:val="24"/>
                <w:szCs w:val="24"/>
              </w:rPr>
            </w:pPr>
          </w:p>
          <w:p w14:paraId="4EEBF5C6" w14:textId="3C639954" w:rsidR="00D55185" w:rsidRPr="00A11B4F" w:rsidRDefault="00D55185" w:rsidP="00D55185">
            <w:pPr>
              <w:rPr>
                <w:rFonts w:ascii="Arial" w:hAnsi="Arial" w:cs="Arial"/>
                <w:b/>
                <w:sz w:val="24"/>
                <w:szCs w:val="24"/>
              </w:rPr>
            </w:pPr>
            <w:r w:rsidRPr="00C540F1">
              <w:rPr>
                <w:rFonts w:ascii="Arial" w:hAnsi="Arial" w:cs="Arial"/>
                <w:b/>
                <w:sz w:val="24"/>
                <w:szCs w:val="24"/>
              </w:rPr>
              <w:t xml:space="preserve">Rationale: </w:t>
            </w:r>
            <w:r w:rsidRPr="00C540F1">
              <w:rPr>
                <w:rFonts w:ascii="Arial" w:hAnsi="Arial" w:cs="Arial"/>
                <w:sz w:val="24"/>
                <w:szCs w:val="24"/>
              </w:rPr>
              <w:t xml:space="preserve">The requirement for the Chief Executive to report to the Appointments Committee every 6 months was originally included in the Constitution to provide more accountability around the appointment of interim directors. Now that the Council has a stable senior </w:t>
            </w:r>
            <w:r w:rsidRPr="00C540F1">
              <w:rPr>
                <w:rFonts w:ascii="Arial" w:hAnsi="Arial" w:cs="Arial"/>
                <w:sz w:val="24"/>
                <w:szCs w:val="24"/>
              </w:rPr>
              <w:lastRenderedPageBreak/>
              <w:t xml:space="preserve">management structure </w:t>
            </w:r>
            <w:r>
              <w:rPr>
                <w:rFonts w:ascii="Arial" w:hAnsi="Arial" w:cs="Arial"/>
                <w:sz w:val="24"/>
                <w:szCs w:val="24"/>
              </w:rPr>
              <w:t xml:space="preserve">it is considered that </w:t>
            </w:r>
            <w:r w:rsidRPr="00C540F1">
              <w:rPr>
                <w:rFonts w:ascii="Arial" w:hAnsi="Arial" w:cs="Arial"/>
                <w:sz w:val="24"/>
                <w:szCs w:val="24"/>
              </w:rPr>
              <w:t xml:space="preserve">there is a reduced need for regular reporting, only where there are changes to report. </w:t>
            </w:r>
          </w:p>
        </w:tc>
        <w:tc>
          <w:tcPr>
            <w:tcW w:w="6237" w:type="dxa"/>
          </w:tcPr>
          <w:p w14:paraId="53FDF565" w14:textId="77777777" w:rsidR="00D55185" w:rsidRPr="00C540F1" w:rsidRDefault="00D55185" w:rsidP="00D55185">
            <w:pPr>
              <w:rPr>
                <w:rFonts w:ascii="Arial" w:hAnsi="Arial" w:cs="Arial"/>
                <w:sz w:val="24"/>
                <w:szCs w:val="24"/>
              </w:rPr>
            </w:pPr>
            <w:r w:rsidRPr="00C540F1">
              <w:rPr>
                <w:rFonts w:ascii="Arial" w:hAnsi="Arial" w:cs="Arial"/>
                <w:sz w:val="24"/>
                <w:szCs w:val="24"/>
              </w:rPr>
              <w:lastRenderedPageBreak/>
              <w:t>(a) The Head of Paid Service (Chief Executive), may amend the senior management structure of the Council to deliver the Council’s objectives in the most effective and efficient manner, subject to the following conditions:</w:t>
            </w:r>
          </w:p>
          <w:p w14:paraId="50BC0147" w14:textId="77777777" w:rsidR="00D55185" w:rsidRPr="00C540F1" w:rsidRDefault="00D55185" w:rsidP="00D55185">
            <w:pPr>
              <w:rPr>
                <w:rFonts w:ascii="Arial" w:hAnsi="Arial" w:cs="Arial"/>
                <w:sz w:val="24"/>
                <w:szCs w:val="24"/>
              </w:rPr>
            </w:pPr>
            <w:r w:rsidRPr="00C540F1">
              <w:rPr>
                <w:rFonts w:ascii="Arial" w:hAnsi="Arial" w:cs="Arial"/>
                <w:sz w:val="24"/>
                <w:szCs w:val="24"/>
              </w:rPr>
              <w:t>(</w:t>
            </w:r>
            <w:proofErr w:type="spellStart"/>
            <w:r w:rsidRPr="00C540F1">
              <w:rPr>
                <w:rFonts w:ascii="Arial" w:hAnsi="Arial" w:cs="Arial"/>
                <w:sz w:val="24"/>
                <w:szCs w:val="24"/>
              </w:rPr>
              <w:t>i</w:t>
            </w:r>
            <w:proofErr w:type="spellEnd"/>
            <w:r w:rsidRPr="00C540F1">
              <w:rPr>
                <w:rFonts w:ascii="Arial" w:hAnsi="Arial" w:cs="Arial"/>
                <w:sz w:val="24"/>
                <w:szCs w:val="24"/>
              </w:rPr>
              <w:t>) That the Chief Executive can make interim appointments, of up to twelve months in total, to the senior management structure in order to facilitate projects or to fill a skills gap;</w:t>
            </w:r>
          </w:p>
          <w:p w14:paraId="5789D59C" w14:textId="77777777" w:rsidR="00D55185" w:rsidRPr="00C540F1" w:rsidRDefault="00D55185" w:rsidP="00D55185">
            <w:pPr>
              <w:rPr>
                <w:rFonts w:ascii="Arial" w:hAnsi="Arial" w:cs="Arial"/>
                <w:sz w:val="24"/>
                <w:szCs w:val="24"/>
              </w:rPr>
            </w:pPr>
            <w:r w:rsidRPr="00C540F1">
              <w:rPr>
                <w:rFonts w:ascii="Arial" w:hAnsi="Arial" w:cs="Arial"/>
                <w:sz w:val="24"/>
                <w:szCs w:val="24"/>
              </w:rPr>
              <w:t>(ii) That the Chief Executive shall consult with all political group leaders prior to the implementation of any changes to the senior management structure;</w:t>
            </w:r>
          </w:p>
          <w:p w14:paraId="4D408618" w14:textId="5DD4B330" w:rsidR="00D55185" w:rsidRPr="00A819BC" w:rsidRDefault="00D55185" w:rsidP="00D55185">
            <w:pPr>
              <w:rPr>
                <w:rFonts w:ascii="Arial" w:hAnsi="Arial" w:cs="Arial"/>
                <w:sz w:val="24"/>
                <w:szCs w:val="24"/>
              </w:rPr>
            </w:pPr>
            <w:r w:rsidRPr="00C540F1">
              <w:rPr>
                <w:rFonts w:ascii="Arial" w:hAnsi="Arial" w:cs="Arial"/>
                <w:sz w:val="24"/>
                <w:szCs w:val="24"/>
              </w:rPr>
              <w:lastRenderedPageBreak/>
              <w:t xml:space="preserve">(iii) That the Chief Executive will report to the Appointments Committee </w:t>
            </w:r>
            <w:r w:rsidRPr="00C540F1">
              <w:rPr>
                <w:rFonts w:ascii="Arial" w:hAnsi="Arial" w:cs="Arial"/>
                <w:strike/>
                <w:sz w:val="24"/>
                <w:szCs w:val="24"/>
              </w:rPr>
              <w:t>every</w:t>
            </w:r>
            <w:r w:rsidRPr="00C540F1">
              <w:rPr>
                <w:rFonts w:ascii="Arial" w:hAnsi="Arial" w:cs="Arial"/>
                <w:sz w:val="24"/>
                <w:szCs w:val="24"/>
              </w:rPr>
              <w:t xml:space="preserve"> </w:t>
            </w:r>
            <w:r w:rsidRPr="00C540F1">
              <w:rPr>
                <w:rFonts w:ascii="Arial" w:hAnsi="Arial" w:cs="Arial"/>
                <w:sz w:val="24"/>
                <w:szCs w:val="24"/>
                <w:u w:val="single"/>
              </w:rPr>
              <w:t xml:space="preserve">within </w:t>
            </w:r>
            <w:r w:rsidRPr="00C540F1">
              <w:rPr>
                <w:rFonts w:ascii="Arial" w:hAnsi="Arial" w:cs="Arial"/>
                <w:sz w:val="24"/>
                <w:szCs w:val="24"/>
              </w:rPr>
              <w:t xml:space="preserve">six months </w:t>
            </w:r>
            <w:r w:rsidRPr="00C540F1">
              <w:rPr>
                <w:rFonts w:ascii="Arial" w:hAnsi="Arial" w:cs="Arial"/>
                <w:strike/>
                <w:sz w:val="24"/>
                <w:szCs w:val="24"/>
              </w:rPr>
              <w:t>in relation to</w:t>
            </w:r>
            <w:r w:rsidRPr="00C540F1">
              <w:rPr>
                <w:rFonts w:ascii="Arial" w:hAnsi="Arial" w:cs="Arial"/>
                <w:sz w:val="24"/>
                <w:szCs w:val="24"/>
              </w:rPr>
              <w:t xml:space="preserve"> </w:t>
            </w:r>
            <w:r w:rsidRPr="00C540F1">
              <w:rPr>
                <w:rFonts w:ascii="Arial" w:hAnsi="Arial" w:cs="Arial"/>
                <w:sz w:val="24"/>
                <w:szCs w:val="24"/>
                <w:u w:val="single"/>
              </w:rPr>
              <w:t>of any change to</w:t>
            </w:r>
            <w:r w:rsidRPr="00C540F1">
              <w:rPr>
                <w:rFonts w:ascii="Arial" w:hAnsi="Arial" w:cs="Arial"/>
                <w:sz w:val="24"/>
                <w:szCs w:val="24"/>
              </w:rPr>
              <w:t xml:space="preserve"> the senior management arrangements </w:t>
            </w:r>
            <w:r w:rsidRPr="00C540F1">
              <w:rPr>
                <w:rFonts w:ascii="Arial" w:hAnsi="Arial" w:cs="Arial"/>
                <w:sz w:val="24"/>
                <w:szCs w:val="24"/>
                <w:u w:val="single"/>
              </w:rPr>
              <w:t>being implemented by the Chief Executive</w:t>
            </w:r>
            <w:r w:rsidRPr="00C540F1">
              <w:rPr>
                <w:rFonts w:ascii="Arial" w:hAnsi="Arial" w:cs="Arial"/>
                <w:strike/>
                <w:sz w:val="24"/>
                <w:szCs w:val="24"/>
              </w:rPr>
              <w:t xml:space="preserve"> including any changes made to those arrangements</w:t>
            </w:r>
            <w:r w:rsidRPr="00C540F1">
              <w:rPr>
                <w:rFonts w:ascii="Arial" w:hAnsi="Arial" w:cs="Arial"/>
                <w:sz w:val="24"/>
                <w:szCs w:val="24"/>
              </w:rPr>
              <w:t>;</w:t>
            </w:r>
          </w:p>
        </w:tc>
      </w:tr>
      <w:tr w:rsidR="00021480" w14:paraId="549A426D" w14:textId="77777777" w:rsidTr="00A819BC">
        <w:tc>
          <w:tcPr>
            <w:tcW w:w="568" w:type="dxa"/>
            <w:shd w:val="clear" w:color="auto" w:fill="auto"/>
          </w:tcPr>
          <w:p w14:paraId="1921A4A8" w14:textId="09698027" w:rsidR="00021480" w:rsidRPr="007078C1" w:rsidRDefault="00D55185" w:rsidP="00BA0CB6">
            <w:pPr>
              <w:rPr>
                <w:rFonts w:ascii="Arial" w:hAnsi="Arial" w:cs="Arial"/>
                <w:sz w:val="24"/>
                <w:szCs w:val="24"/>
              </w:rPr>
            </w:pPr>
            <w:r>
              <w:rPr>
                <w:rFonts w:ascii="Arial" w:hAnsi="Arial" w:cs="Arial"/>
                <w:sz w:val="24"/>
                <w:szCs w:val="24"/>
              </w:rPr>
              <w:lastRenderedPageBreak/>
              <w:t>6</w:t>
            </w:r>
          </w:p>
        </w:tc>
        <w:tc>
          <w:tcPr>
            <w:tcW w:w="1985" w:type="dxa"/>
            <w:shd w:val="clear" w:color="auto" w:fill="auto"/>
          </w:tcPr>
          <w:p w14:paraId="611E39B5" w14:textId="7C2B0311" w:rsidR="00021480" w:rsidRDefault="00021480" w:rsidP="00BA0CB6">
            <w:pPr>
              <w:rPr>
                <w:rFonts w:ascii="Arial" w:hAnsi="Arial" w:cs="Arial"/>
                <w:sz w:val="24"/>
                <w:szCs w:val="24"/>
              </w:rPr>
            </w:pPr>
            <w:r>
              <w:rPr>
                <w:rFonts w:ascii="Arial" w:hAnsi="Arial" w:cs="Arial"/>
                <w:sz w:val="24"/>
                <w:szCs w:val="24"/>
              </w:rPr>
              <w:t>Part 11.11: Questions and statements by councillors</w:t>
            </w:r>
          </w:p>
          <w:p w14:paraId="5F98CFDC" w14:textId="77777777" w:rsidR="00021480" w:rsidRDefault="00021480" w:rsidP="00BA0CB6">
            <w:pPr>
              <w:rPr>
                <w:rFonts w:ascii="Arial" w:hAnsi="Arial" w:cs="Arial"/>
                <w:sz w:val="24"/>
                <w:szCs w:val="24"/>
              </w:rPr>
            </w:pPr>
          </w:p>
          <w:p w14:paraId="046B1579" w14:textId="77777777" w:rsidR="00021480" w:rsidRDefault="00021480" w:rsidP="00BA0CB6">
            <w:pPr>
              <w:rPr>
                <w:rFonts w:ascii="Arial" w:hAnsi="Arial" w:cs="Arial"/>
                <w:sz w:val="24"/>
                <w:szCs w:val="24"/>
              </w:rPr>
            </w:pPr>
          </w:p>
          <w:p w14:paraId="1B2381AD" w14:textId="77777777" w:rsidR="00021480" w:rsidRPr="00BA0CB6" w:rsidRDefault="00021480" w:rsidP="00BA0CB6">
            <w:pPr>
              <w:rPr>
                <w:rFonts w:ascii="Arial" w:hAnsi="Arial" w:cs="Arial"/>
                <w:i/>
                <w:sz w:val="24"/>
                <w:szCs w:val="24"/>
              </w:rPr>
            </w:pPr>
          </w:p>
        </w:tc>
        <w:tc>
          <w:tcPr>
            <w:tcW w:w="6095" w:type="dxa"/>
          </w:tcPr>
          <w:p w14:paraId="795BAFD5" w14:textId="13996F82" w:rsidR="00FD36A3" w:rsidRDefault="00A11B4F" w:rsidP="00A819BC">
            <w:pPr>
              <w:rPr>
                <w:rFonts w:ascii="Arial" w:hAnsi="Arial" w:cs="Arial"/>
                <w:sz w:val="24"/>
                <w:szCs w:val="24"/>
              </w:rPr>
            </w:pPr>
            <w:r w:rsidRPr="00A11B4F">
              <w:rPr>
                <w:rFonts w:ascii="Arial" w:hAnsi="Arial" w:cs="Arial"/>
                <w:b/>
                <w:sz w:val="24"/>
                <w:szCs w:val="24"/>
              </w:rPr>
              <w:t>Proposal:</w:t>
            </w:r>
            <w:r>
              <w:rPr>
                <w:rFonts w:ascii="Arial" w:hAnsi="Arial" w:cs="Arial"/>
                <w:sz w:val="24"/>
                <w:szCs w:val="24"/>
              </w:rPr>
              <w:t xml:space="preserve"> </w:t>
            </w:r>
            <w:r w:rsidR="00A819BC">
              <w:rPr>
                <w:rFonts w:ascii="Arial" w:hAnsi="Arial" w:cs="Arial"/>
                <w:sz w:val="24"/>
                <w:szCs w:val="24"/>
              </w:rPr>
              <w:t>To authorise officers to order questions on notice and to group similar questions.</w:t>
            </w:r>
          </w:p>
          <w:p w14:paraId="00577904" w14:textId="77777777" w:rsidR="00A819BC" w:rsidRDefault="00A819BC" w:rsidP="00A819BC">
            <w:pPr>
              <w:rPr>
                <w:rFonts w:ascii="Arial" w:hAnsi="Arial" w:cs="Arial"/>
                <w:sz w:val="24"/>
                <w:szCs w:val="24"/>
              </w:rPr>
            </w:pPr>
          </w:p>
          <w:p w14:paraId="06AF4BE4" w14:textId="632C3E6D" w:rsidR="00A819BC" w:rsidRPr="00A819BC" w:rsidRDefault="00A819BC" w:rsidP="00A819BC">
            <w:pPr>
              <w:rPr>
                <w:rFonts w:ascii="Arial" w:hAnsi="Arial" w:cs="Arial"/>
                <w:sz w:val="24"/>
                <w:szCs w:val="24"/>
              </w:rPr>
            </w:pPr>
            <w:r>
              <w:rPr>
                <w:rFonts w:ascii="Arial" w:hAnsi="Arial" w:cs="Arial"/>
                <w:b/>
                <w:sz w:val="24"/>
                <w:szCs w:val="24"/>
              </w:rPr>
              <w:t xml:space="preserve">Rationale: </w:t>
            </w:r>
            <w:r>
              <w:rPr>
                <w:rFonts w:ascii="Arial" w:hAnsi="Arial" w:cs="Arial"/>
                <w:sz w:val="24"/>
                <w:szCs w:val="24"/>
              </w:rPr>
              <w:t xml:space="preserve">To clarify that officers are responsible for the order </w:t>
            </w:r>
            <w:r w:rsidR="00676122">
              <w:rPr>
                <w:rFonts w:ascii="Arial" w:hAnsi="Arial" w:cs="Arial"/>
                <w:sz w:val="24"/>
                <w:szCs w:val="24"/>
              </w:rPr>
              <w:t>in which</w:t>
            </w:r>
            <w:r>
              <w:rPr>
                <w:rFonts w:ascii="Arial" w:hAnsi="Arial" w:cs="Arial"/>
                <w:sz w:val="24"/>
                <w:szCs w:val="24"/>
              </w:rPr>
              <w:t xml:space="preserve"> questions</w:t>
            </w:r>
            <w:r w:rsidR="00676122">
              <w:rPr>
                <w:rFonts w:ascii="Arial" w:hAnsi="Arial" w:cs="Arial"/>
                <w:sz w:val="24"/>
                <w:szCs w:val="24"/>
              </w:rPr>
              <w:t xml:space="preserve"> on notice are listed on the agenda</w:t>
            </w:r>
            <w:r>
              <w:rPr>
                <w:rFonts w:ascii="Arial" w:hAnsi="Arial" w:cs="Arial"/>
                <w:sz w:val="24"/>
                <w:szCs w:val="24"/>
              </w:rPr>
              <w:t>. In practice questions on notice are grouped by Cabinet Member rather than ta</w:t>
            </w:r>
            <w:r w:rsidR="00676122">
              <w:rPr>
                <w:rFonts w:ascii="Arial" w:hAnsi="Arial" w:cs="Arial"/>
                <w:sz w:val="24"/>
                <w:szCs w:val="24"/>
              </w:rPr>
              <w:t>ken in the order in which they a</w:t>
            </w:r>
            <w:r>
              <w:rPr>
                <w:rFonts w:ascii="Arial" w:hAnsi="Arial" w:cs="Arial"/>
                <w:sz w:val="24"/>
                <w:szCs w:val="24"/>
              </w:rPr>
              <w:t>re</w:t>
            </w:r>
            <w:r w:rsidR="00676122">
              <w:rPr>
                <w:rFonts w:ascii="Arial" w:hAnsi="Arial" w:cs="Arial"/>
                <w:sz w:val="24"/>
                <w:szCs w:val="24"/>
              </w:rPr>
              <w:t xml:space="preserve"> received. The grouping similar questions was supported by the Cross-party group. </w:t>
            </w:r>
          </w:p>
          <w:p w14:paraId="164D2F9A" w14:textId="7D1A88D6" w:rsidR="00021480" w:rsidRPr="004649E6" w:rsidRDefault="00021480" w:rsidP="00E50DAF">
            <w:pPr>
              <w:rPr>
                <w:rFonts w:ascii="Arial" w:hAnsi="Arial" w:cs="Arial"/>
                <w:sz w:val="24"/>
                <w:szCs w:val="24"/>
              </w:rPr>
            </w:pPr>
          </w:p>
        </w:tc>
        <w:tc>
          <w:tcPr>
            <w:tcW w:w="6237" w:type="dxa"/>
          </w:tcPr>
          <w:p w14:paraId="40A2FC9A" w14:textId="77777777" w:rsidR="00350778" w:rsidRPr="00A819BC" w:rsidRDefault="00A819BC" w:rsidP="006A553D">
            <w:pPr>
              <w:rPr>
                <w:rFonts w:ascii="Arial" w:hAnsi="Arial" w:cs="Arial"/>
                <w:sz w:val="24"/>
                <w:szCs w:val="24"/>
              </w:rPr>
            </w:pPr>
            <w:r w:rsidRPr="00A819BC">
              <w:rPr>
                <w:rFonts w:ascii="Arial" w:hAnsi="Arial" w:cs="Arial"/>
                <w:sz w:val="24"/>
                <w:szCs w:val="24"/>
              </w:rPr>
              <w:t>…</w:t>
            </w:r>
          </w:p>
          <w:p w14:paraId="200BF8A3" w14:textId="77777777" w:rsidR="00A819BC" w:rsidRPr="00A819BC" w:rsidRDefault="00A819BC" w:rsidP="00A819BC">
            <w:pPr>
              <w:rPr>
                <w:rFonts w:ascii="Arial" w:hAnsi="Arial" w:cs="Arial"/>
                <w:sz w:val="24"/>
                <w:szCs w:val="24"/>
              </w:rPr>
            </w:pPr>
            <w:r w:rsidRPr="00A819BC">
              <w:rPr>
                <w:rFonts w:ascii="Arial" w:hAnsi="Arial" w:cs="Arial"/>
                <w:sz w:val="24"/>
                <w:szCs w:val="24"/>
              </w:rPr>
              <w:t>(b) Questions on notice</w:t>
            </w:r>
          </w:p>
          <w:p w14:paraId="054E6888" w14:textId="34643129" w:rsidR="00A819BC" w:rsidRPr="00A819BC" w:rsidRDefault="00A819BC" w:rsidP="00A819BC">
            <w:pPr>
              <w:pStyle w:val="ListParagraph"/>
              <w:numPr>
                <w:ilvl w:val="0"/>
                <w:numId w:val="21"/>
              </w:numPr>
              <w:rPr>
                <w:rFonts w:ascii="Arial" w:hAnsi="Arial" w:cs="Arial"/>
                <w:sz w:val="24"/>
                <w:szCs w:val="24"/>
              </w:rPr>
            </w:pPr>
            <w:r w:rsidRPr="00A819BC">
              <w:rPr>
                <w:rFonts w:ascii="Arial" w:hAnsi="Arial" w:cs="Arial"/>
                <w:sz w:val="24"/>
                <w:szCs w:val="24"/>
              </w:rPr>
              <w:t>Questions on notice by councillors must be about something the Council is responsible for or something that directly affects people in the city.</w:t>
            </w:r>
          </w:p>
          <w:p w14:paraId="45C1ED16" w14:textId="77777777" w:rsidR="00A819BC" w:rsidRDefault="00A819BC" w:rsidP="005320F0">
            <w:pPr>
              <w:pStyle w:val="ListParagraph"/>
              <w:numPr>
                <w:ilvl w:val="0"/>
                <w:numId w:val="21"/>
              </w:numPr>
              <w:autoSpaceDE w:val="0"/>
              <w:autoSpaceDN w:val="0"/>
              <w:adjustRightInd w:val="0"/>
              <w:rPr>
                <w:rFonts w:ascii="Arial" w:hAnsi="Arial" w:cs="Arial"/>
                <w:sz w:val="24"/>
                <w:szCs w:val="24"/>
              </w:rPr>
            </w:pPr>
            <w:r w:rsidRPr="00A819BC">
              <w:rPr>
                <w:rFonts w:ascii="Arial" w:hAnsi="Arial" w:cs="Arial"/>
                <w:sz w:val="24"/>
                <w:szCs w:val="24"/>
              </w:rPr>
              <w:t xml:space="preserve">The full wording of questions on notice must be emailed to </w:t>
            </w:r>
            <w:r w:rsidRPr="00A819BC">
              <w:rPr>
                <w:rFonts w:ascii="Arial" w:hAnsi="Arial" w:cs="Arial"/>
                <w:i/>
                <w:iCs/>
                <w:sz w:val="24"/>
                <w:szCs w:val="24"/>
              </w:rPr>
              <w:t xml:space="preserve">democraticservices@oxford.gov.uk </w:t>
            </w:r>
            <w:r w:rsidRPr="00A819BC">
              <w:rPr>
                <w:rFonts w:ascii="Arial" w:hAnsi="Arial" w:cs="Arial"/>
                <w:sz w:val="24"/>
                <w:szCs w:val="24"/>
              </w:rPr>
              <w:t>or received by the Head of Law and Governance by 1.00 p.m. at least seven clear working days before the Council meeting.</w:t>
            </w:r>
          </w:p>
          <w:p w14:paraId="2A47283A" w14:textId="77777777" w:rsidR="00A819BC" w:rsidRDefault="00A819BC" w:rsidP="00A819BC">
            <w:pPr>
              <w:pStyle w:val="ListParagraph"/>
              <w:numPr>
                <w:ilvl w:val="0"/>
                <w:numId w:val="21"/>
              </w:numPr>
              <w:autoSpaceDE w:val="0"/>
              <w:autoSpaceDN w:val="0"/>
              <w:adjustRightInd w:val="0"/>
              <w:rPr>
                <w:rFonts w:ascii="Arial" w:hAnsi="Arial" w:cs="Arial"/>
                <w:sz w:val="24"/>
                <w:szCs w:val="24"/>
              </w:rPr>
            </w:pPr>
            <w:r w:rsidRPr="00A819BC">
              <w:rPr>
                <w:rFonts w:ascii="Arial" w:hAnsi="Arial" w:cs="Arial"/>
                <w:sz w:val="24"/>
                <w:szCs w:val="24"/>
              </w:rPr>
              <w:t>Questions must be directed to the Lord Mayor, a Cabinet member or a</w:t>
            </w:r>
            <w:r>
              <w:rPr>
                <w:rFonts w:ascii="Arial" w:hAnsi="Arial" w:cs="Arial"/>
                <w:sz w:val="24"/>
                <w:szCs w:val="24"/>
              </w:rPr>
              <w:t xml:space="preserve"> </w:t>
            </w:r>
            <w:r w:rsidRPr="00A819BC">
              <w:rPr>
                <w:rFonts w:ascii="Arial" w:hAnsi="Arial" w:cs="Arial"/>
                <w:sz w:val="24"/>
                <w:szCs w:val="24"/>
              </w:rPr>
              <w:t>committee chair. A Cabinet member can nominate another Cabinet</w:t>
            </w:r>
            <w:r>
              <w:rPr>
                <w:rFonts w:ascii="Arial" w:hAnsi="Arial" w:cs="Arial"/>
                <w:sz w:val="24"/>
                <w:szCs w:val="24"/>
              </w:rPr>
              <w:t xml:space="preserve"> member to reply.</w:t>
            </w:r>
          </w:p>
          <w:p w14:paraId="2A27D16E" w14:textId="6D6D7F0C" w:rsidR="00A819BC" w:rsidRPr="00A819BC" w:rsidRDefault="00A819BC" w:rsidP="00A819BC">
            <w:pPr>
              <w:pStyle w:val="ListParagraph"/>
              <w:numPr>
                <w:ilvl w:val="0"/>
                <w:numId w:val="21"/>
              </w:numPr>
              <w:autoSpaceDE w:val="0"/>
              <w:autoSpaceDN w:val="0"/>
              <w:adjustRightInd w:val="0"/>
              <w:rPr>
                <w:rFonts w:ascii="Arial" w:hAnsi="Arial" w:cs="Arial"/>
                <w:sz w:val="24"/>
                <w:szCs w:val="24"/>
                <w:u w:val="single"/>
              </w:rPr>
            </w:pPr>
            <w:r w:rsidRPr="00A819BC">
              <w:rPr>
                <w:rFonts w:ascii="Arial" w:hAnsi="Arial" w:cs="Arial"/>
                <w:sz w:val="24"/>
                <w:szCs w:val="24"/>
                <w:u w:val="single"/>
              </w:rPr>
              <w:t>The Head of Law and Governance will determine the order of questions on notice and may group similar questions.</w:t>
            </w:r>
          </w:p>
        </w:tc>
      </w:tr>
      <w:tr w:rsidR="00021480" w14:paraId="7F618C43" w14:textId="77777777" w:rsidTr="00A819BC">
        <w:tc>
          <w:tcPr>
            <w:tcW w:w="568" w:type="dxa"/>
            <w:shd w:val="clear" w:color="auto" w:fill="auto"/>
          </w:tcPr>
          <w:p w14:paraId="03E8792E" w14:textId="2F660281" w:rsidR="00021480" w:rsidRPr="007078C1" w:rsidRDefault="00D55185" w:rsidP="00A807A2">
            <w:pPr>
              <w:rPr>
                <w:rFonts w:ascii="Arial" w:hAnsi="Arial" w:cs="Arial"/>
                <w:sz w:val="24"/>
                <w:szCs w:val="24"/>
              </w:rPr>
            </w:pPr>
            <w:r>
              <w:rPr>
                <w:rFonts w:ascii="Arial" w:hAnsi="Arial" w:cs="Arial"/>
                <w:sz w:val="24"/>
                <w:szCs w:val="24"/>
              </w:rPr>
              <w:t>7</w:t>
            </w:r>
          </w:p>
        </w:tc>
        <w:tc>
          <w:tcPr>
            <w:tcW w:w="1985" w:type="dxa"/>
            <w:shd w:val="clear" w:color="auto" w:fill="auto"/>
          </w:tcPr>
          <w:p w14:paraId="3CF324CB" w14:textId="2B142EBF" w:rsidR="00021480" w:rsidRDefault="008B62B1" w:rsidP="00EE2EC7">
            <w:pPr>
              <w:rPr>
                <w:rFonts w:ascii="Arial" w:hAnsi="Arial" w:cs="Arial"/>
                <w:sz w:val="24"/>
                <w:szCs w:val="24"/>
              </w:rPr>
            </w:pPr>
            <w:r>
              <w:rPr>
                <w:rFonts w:ascii="Arial" w:hAnsi="Arial" w:cs="Arial"/>
                <w:sz w:val="24"/>
                <w:szCs w:val="24"/>
              </w:rPr>
              <w:t xml:space="preserve">Part 11.11 </w:t>
            </w:r>
            <w:r w:rsidR="00A819BC">
              <w:rPr>
                <w:rFonts w:ascii="Arial" w:hAnsi="Arial" w:cs="Arial"/>
                <w:sz w:val="24"/>
                <w:szCs w:val="24"/>
              </w:rPr>
              <w:t>Questions and statements by councillors</w:t>
            </w:r>
          </w:p>
          <w:p w14:paraId="56D74760" w14:textId="77777777" w:rsidR="00021480" w:rsidRDefault="00021480" w:rsidP="00EE2EC7">
            <w:pPr>
              <w:rPr>
                <w:rFonts w:ascii="Arial" w:hAnsi="Arial" w:cs="Arial"/>
                <w:sz w:val="24"/>
                <w:szCs w:val="24"/>
              </w:rPr>
            </w:pPr>
          </w:p>
          <w:p w14:paraId="1BDA2098" w14:textId="77777777" w:rsidR="00021480" w:rsidRPr="00BA0CB6" w:rsidRDefault="00021480" w:rsidP="00EE2EC7">
            <w:pPr>
              <w:rPr>
                <w:rFonts w:ascii="Arial" w:hAnsi="Arial" w:cs="Arial"/>
                <w:i/>
                <w:sz w:val="24"/>
                <w:szCs w:val="24"/>
              </w:rPr>
            </w:pPr>
          </w:p>
        </w:tc>
        <w:tc>
          <w:tcPr>
            <w:tcW w:w="6095" w:type="dxa"/>
          </w:tcPr>
          <w:p w14:paraId="1A211E38" w14:textId="7FFE295C" w:rsidR="00021480" w:rsidRDefault="00E50DAF" w:rsidP="00F21C2F">
            <w:pPr>
              <w:rPr>
                <w:rFonts w:ascii="Arial" w:hAnsi="Arial" w:cs="Arial"/>
                <w:sz w:val="24"/>
                <w:szCs w:val="24"/>
              </w:rPr>
            </w:pPr>
            <w:r w:rsidRPr="00E50DAF">
              <w:rPr>
                <w:rFonts w:ascii="Arial" w:hAnsi="Arial" w:cs="Arial"/>
                <w:b/>
                <w:sz w:val="24"/>
                <w:szCs w:val="24"/>
              </w:rPr>
              <w:t>Proposal:</w:t>
            </w:r>
            <w:r w:rsidR="00BC583A">
              <w:rPr>
                <w:rFonts w:ascii="Arial" w:hAnsi="Arial" w:cs="Arial"/>
                <w:b/>
                <w:sz w:val="24"/>
                <w:szCs w:val="24"/>
              </w:rPr>
              <w:t xml:space="preserve"> </w:t>
            </w:r>
            <w:r w:rsidR="00021480">
              <w:rPr>
                <w:rFonts w:ascii="Arial" w:hAnsi="Arial" w:cs="Arial"/>
                <w:sz w:val="24"/>
                <w:szCs w:val="24"/>
              </w:rPr>
              <w:t xml:space="preserve">To </w:t>
            </w:r>
            <w:r w:rsidR="00BC583A">
              <w:rPr>
                <w:rFonts w:ascii="Arial" w:hAnsi="Arial" w:cs="Arial"/>
                <w:sz w:val="24"/>
                <w:szCs w:val="24"/>
              </w:rPr>
              <w:t xml:space="preserve">include a sub-section on answering questions stating that </w:t>
            </w:r>
            <w:r w:rsidR="00021480">
              <w:rPr>
                <w:rFonts w:ascii="Arial" w:hAnsi="Arial" w:cs="Arial"/>
                <w:sz w:val="24"/>
                <w:szCs w:val="24"/>
              </w:rPr>
              <w:t xml:space="preserve">members answering questions can offer to follow up with a written response </w:t>
            </w:r>
            <w:r w:rsidR="00BC583A">
              <w:rPr>
                <w:rFonts w:ascii="Arial" w:hAnsi="Arial" w:cs="Arial"/>
                <w:sz w:val="24"/>
                <w:szCs w:val="24"/>
              </w:rPr>
              <w:t>within 5 working days</w:t>
            </w:r>
            <w:r w:rsidR="00021480">
              <w:rPr>
                <w:rFonts w:ascii="Arial" w:hAnsi="Arial" w:cs="Arial"/>
                <w:sz w:val="24"/>
                <w:szCs w:val="24"/>
              </w:rPr>
              <w:t xml:space="preserve"> of the meeting if they do not </w:t>
            </w:r>
            <w:r w:rsidR="00BC583A">
              <w:rPr>
                <w:rFonts w:ascii="Arial" w:hAnsi="Arial" w:cs="Arial"/>
                <w:sz w:val="24"/>
                <w:szCs w:val="24"/>
              </w:rPr>
              <w:t xml:space="preserve">have </w:t>
            </w:r>
            <w:r w:rsidR="00021480">
              <w:rPr>
                <w:rFonts w:ascii="Arial" w:hAnsi="Arial" w:cs="Arial"/>
                <w:sz w:val="24"/>
                <w:szCs w:val="24"/>
              </w:rPr>
              <w:t>the answer</w:t>
            </w:r>
            <w:r w:rsidR="00BC583A">
              <w:rPr>
                <w:rFonts w:ascii="Arial" w:hAnsi="Arial" w:cs="Arial"/>
                <w:sz w:val="24"/>
                <w:szCs w:val="24"/>
              </w:rPr>
              <w:t xml:space="preserve"> to hand and that any written responses will be added to the minutes of the meeting.</w:t>
            </w:r>
          </w:p>
          <w:p w14:paraId="6E435D7E" w14:textId="4C223E07" w:rsidR="00021480" w:rsidRDefault="00021480" w:rsidP="00F21C2F">
            <w:pPr>
              <w:rPr>
                <w:rFonts w:ascii="Arial" w:hAnsi="Arial" w:cs="Arial"/>
                <w:sz w:val="24"/>
                <w:szCs w:val="24"/>
              </w:rPr>
            </w:pPr>
          </w:p>
          <w:p w14:paraId="29668A9C" w14:textId="4297059F" w:rsidR="00021480" w:rsidRDefault="00E50DAF" w:rsidP="00461FDC">
            <w:pPr>
              <w:rPr>
                <w:rFonts w:ascii="Arial" w:hAnsi="Arial" w:cs="Arial"/>
                <w:sz w:val="24"/>
                <w:szCs w:val="24"/>
              </w:rPr>
            </w:pPr>
            <w:r w:rsidRPr="00E50DAF">
              <w:rPr>
                <w:rFonts w:ascii="Arial" w:hAnsi="Arial" w:cs="Arial"/>
                <w:b/>
                <w:sz w:val="24"/>
                <w:szCs w:val="24"/>
              </w:rPr>
              <w:t>Rationale:</w:t>
            </w:r>
            <w:r>
              <w:rPr>
                <w:rFonts w:ascii="Arial" w:hAnsi="Arial" w:cs="Arial"/>
                <w:sz w:val="24"/>
                <w:szCs w:val="24"/>
              </w:rPr>
              <w:t xml:space="preserve"> </w:t>
            </w:r>
            <w:r w:rsidR="00FD36A3" w:rsidRPr="00FD36A3">
              <w:rPr>
                <w:rFonts w:ascii="Arial" w:hAnsi="Arial" w:cs="Arial"/>
                <w:sz w:val="24"/>
                <w:szCs w:val="24"/>
              </w:rPr>
              <w:t xml:space="preserve">To </w:t>
            </w:r>
            <w:r w:rsidR="006A553D">
              <w:rPr>
                <w:rFonts w:ascii="Arial" w:hAnsi="Arial" w:cs="Arial"/>
                <w:sz w:val="24"/>
                <w:szCs w:val="24"/>
              </w:rPr>
              <w:t xml:space="preserve">clarify that </w:t>
            </w:r>
            <w:r w:rsidR="00BC583A">
              <w:rPr>
                <w:rFonts w:ascii="Arial" w:hAnsi="Arial" w:cs="Arial"/>
                <w:sz w:val="24"/>
                <w:szCs w:val="24"/>
              </w:rPr>
              <w:t>t</w:t>
            </w:r>
            <w:r w:rsidR="00FD36A3" w:rsidRPr="00FD36A3">
              <w:rPr>
                <w:rFonts w:ascii="Arial" w:hAnsi="Arial" w:cs="Arial"/>
                <w:sz w:val="24"/>
                <w:szCs w:val="24"/>
              </w:rPr>
              <w:t>he member responsible for answer</w:t>
            </w:r>
            <w:r w:rsidR="006A553D">
              <w:rPr>
                <w:rFonts w:ascii="Arial" w:hAnsi="Arial" w:cs="Arial"/>
                <w:sz w:val="24"/>
                <w:szCs w:val="24"/>
              </w:rPr>
              <w:t xml:space="preserve">ing </w:t>
            </w:r>
            <w:r w:rsidR="00BC583A">
              <w:rPr>
                <w:rFonts w:ascii="Arial" w:hAnsi="Arial" w:cs="Arial"/>
                <w:sz w:val="24"/>
                <w:szCs w:val="24"/>
              </w:rPr>
              <w:t>a</w:t>
            </w:r>
            <w:r w:rsidR="006A553D">
              <w:rPr>
                <w:rFonts w:ascii="Arial" w:hAnsi="Arial" w:cs="Arial"/>
                <w:sz w:val="24"/>
                <w:szCs w:val="24"/>
              </w:rPr>
              <w:t xml:space="preserve"> question</w:t>
            </w:r>
            <w:r w:rsidR="00FD36A3" w:rsidRPr="00FD36A3">
              <w:rPr>
                <w:rFonts w:ascii="Arial" w:hAnsi="Arial" w:cs="Arial"/>
                <w:sz w:val="24"/>
                <w:szCs w:val="24"/>
              </w:rPr>
              <w:t xml:space="preserve"> can offe</w:t>
            </w:r>
            <w:r w:rsidR="00BC583A">
              <w:rPr>
                <w:rFonts w:ascii="Arial" w:hAnsi="Arial" w:cs="Arial"/>
                <w:sz w:val="24"/>
                <w:szCs w:val="24"/>
              </w:rPr>
              <w:t xml:space="preserve">r to provide a written response, with provisions for ensuring </w:t>
            </w:r>
            <w:r w:rsidR="00676122">
              <w:rPr>
                <w:rFonts w:ascii="Arial" w:hAnsi="Arial" w:cs="Arial"/>
                <w:sz w:val="24"/>
                <w:szCs w:val="24"/>
              </w:rPr>
              <w:t xml:space="preserve">the </w:t>
            </w:r>
            <w:r w:rsidR="00BC583A">
              <w:rPr>
                <w:rFonts w:ascii="Arial" w:hAnsi="Arial" w:cs="Arial"/>
                <w:sz w:val="24"/>
                <w:szCs w:val="24"/>
              </w:rPr>
              <w:t>timeliness and visibility of written responses.</w:t>
            </w:r>
          </w:p>
        </w:tc>
        <w:tc>
          <w:tcPr>
            <w:tcW w:w="6237" w:type="dxa"/>
          </w:tcPr>
          <w:p w14:paraId="28328CC0" w14:textId="0482BD55" w:rsidR="00021480" w:rsidRDefault="00021480" w:rsidP="00F21C2F">
            <w:pPr>
              <w:rPr>
                <w:rFonts w:ascii="Arial" w:hAnsi="Arial" w:cs="Arial"/>
                <w:sz w:val="24"/>
                <w:szCs w:val="24"/>
              </w:rPr>
            </w:pPr>
            <w:r>
              <w:rPr>
                <w:rFonts w:ascii="Arial" w:hAnsi="Arial" w:cs="Arial"/>
                <w:sz w:val="24"/>
                <w:szCs w:val="24"/>
              </w:rPr>
              <w:t>…</w:t>
            </w:r>
          </w:p>
          <w:p w14:paraId="46423203" w14:textId="77777777" w:rsidR="00021480" w:rsidRPr="00E80738" w:rsidRDefault="00021480" w:rsidP="00E80738">
            <w:pPr>
              <w:rPr>
                <w:rFonts w:ascii="Arial" w:hAnsi="Arial" w:cs="Arial"/>
                <w:sz w:val="24"/>
                <w:szCs w:val="24"/>
                <w:u w:val="single"/>
              </w:rPr>
            </w:pPr>
            <w:r w:rsidRPr="00E80738">
              <w:rPr>
                <w:rFonts w:ascii="Arial" w:hAnsi="Arial" w:cs="Arial"/>
                <w:sz w:val="24"/>
                <w:szCs w:val="24"/>
                <w:u w:val="single"/>
              </w:rPr>
              <w:t>(d) Answering questions</w:t>
            </w:r>
          </w:p>
          <w:p w14:paraId="3E0B2753" w14:textId="77777777" w:rsidR="00021480" w:rsidRDefault="00021480" w:rsidP="00E80738">
            <w:pPr>
              <w:rPr>
                <w:rFonts w:ascii="Arial" w:hAnsi="Arial" w:cs="Arial"/>
                <w:sz w:val="24"/>
                <w:szCs w:val="24"/>
              </w:rPr>
            </w:pPr>
          </w:p>
          <w:p w14:paraId="480DD0BA" w14:textId="3C2E0920" w:rsidR="00021480" w:rsidRDefault="00021480" w:rsidP="00E80738">
            <w:r w:rsidRPr="002875AA">
              <w:rPr>
                <w:rFonts w:ascii="Arial" w:hAnsi="Arial" w:cs="Arial"/>
                <w:sz w:val="24"/>
                <w:szCs w:val="24"/>
                <w:u w:val="single"/>
              </w:rPr>
              <w:t>Members answering</w:t>
            </w:r>
            <w:r w:rsidR="009621ED">
              <w:rPr>
                <w:rFonts w:ascii="Arial" w:hAnsi="Arial" w:cs="Arial"/>
                <w:sz w:val="24"/>
                <w:szCs w:val="24"/>
                <w:u w:val="single"/>
              </w:rPr>
              <w:t xml:space="preserve"> </w:t>
            </w:r>
            <w:r w:rsidRPr="002875AA">
              <w:rPr>
                <w:rFonts w:ascii="Arial" w:hAnsi="Arial" w:cs="Arial"/>
                <w:sz w:val="24"/>
                <w:szCs w:val="24"/>
                <w:u w:val="single"/>
              </w:rPr>
              <w:t xml:space="preserve">questions may </w:t>
            </w:r>
            <w:r>
              <w:rPr>
                <w:rFonts w:ascii="Arial" w:hAnsi="Arial" w:cs="Arial"/>
                <w:sz w:val="24"/>
                <w:szCs w:val="24"/>
                <w:u w:val="single"/>
              </w:rPr>
              <w:t>answer verbally or</w:t>
            </w:r>
            <w:r w:rsidR="00BC583A">
              <w:rPr>
                <w:rFonts w:ascii="Arial" w:hAnsi="Arial" w:cs="Arial"/>
                <w:sz w:val="24"/>
                <w:szCs w:val="24"/>
                <w:u w:val="single"/>
              </w:rPr>
              <w:t xml:space="preserve"> </w:t>
            </w:r>
            <w:r w:rsidRPr="002875AA">
              <w:rPr>
                <w:rFonts w:ascii="Arial" w:hAnsi="Arial" w:cs="Arial"/>
                <w:sz w:val="24"/>
                <w:szCs w:val="24"/>
                <w:u w:val="single"/>
              </w:rPr>
              <w:t xml:space="preserve">offer to provide a written response </w:t>
            </w:r>
            <w:r w:rsidR="009621ED">
              <w:rPr>
                <w:rFonts w:ascii="Arial" w:hAnsi="Arial" w:cs="Arial"/>
                <w:sz w:val="24"/>
                <w:szCs w:val="24"/>
                <w:u w:val="single"/>
              </w:rPr>
              <w:t>within 5 working days of</w:t>
            </w:r>
            <w:r w:rsidR="009621ED" w:rsidRPr="002875AA">
              <w:rPr>
                <w:rFonts w:ascii="Arial" w:hAnsi="Arial" w:cs="Arial"/>
                <w:sz w:val="24"/>
                <w:szCs w:val="24"/>
                <w:u w:val="single"/>
              </w:rPr>
              <w:t xml:space="preserve"> </w:t>
            </w:r>
            <w:r w:rsidRPr="002875AA">
              <w:rPr>
                <w:rFonts w:ascii="Arial" w:hAnsi="Arial" w:cs="Arial"/>
                <w:sz w:val="24"/>
                <w:szCs w:val="24"/>
                <w:u w:val="single"/>
              </w:rPr>
              <w:t>the meeting</w:t>
            </w:r>
            <w:r w:rsidR="0001645D">
              <w:rPr>
                <w:rFonts w:ascii="Arial" w:hAnsi="Arial" w:cs="Arial"/>
                <w:sz w:val="24"/>
                <w:szCs w:val="24"/>
                <w:u w:val="single"/>
              </w:rPr>
              <w:t>, which will be circulated and added to the minutes</w:t>
            </w:r>
            <w:r>
              <w:t>.</w:t>
            </w:r>
          </w:p>
          <w:p w14:paraId="77ECF05B" w14:textId="77777777" w:rsidR="00021480" w:rsidRDefault="00021480" w:rsidP="00E80738"/>
          <w:p w14:paraId="57CDDE46" w14:textId="7B198367" w:rsidR="00021480" w:rsidRPr="00E80738" w:rsidRDefault="00021480" w:rsidP="00E80738">
            <w:pPr>
              <w:rPr>
                <w:u w:val="single"/>
              </w:rPr>
            </w:pPr>
          </w:p>
          <w:p w14:paraId="550D3E65" w14:textId="77777777" w:rsidR="00021480" w:rsidRDefault="00021480" w:rsidP="00E80738"/>
          <w:p w14:paraId="5DE0426F" w14:textId="2B472EE3" w:rsidR="00021480" w:rsidRPr="00E80738" w:rsidRDefault="00021480" w:rsidP="00E80738">
            <w:pPr>
              <w:rPr>
                <w:rFonts w:ascii="Arial" w:hAnsi="Arial" w:cs="Arial"/>
                <w:b/>
                <w:i/>
                <w:sz w:val="24"/>
                <w:szCs w:val="24"/>
              </w:rPr>
            </w:pPr>
          </w:p>
        </w:tc>
      </w:tr>
      <w:tr w:rsidR="00021480" w14:paraId="6F51109F" w14:textId="77777777" w:rsidTr="00A819BC">
        <w:tc>
          <w:tcPr>
            <w:tcW w:w="568" w:type="dxa"/>
            <w:shd w:val="clear" w:color="auto" w:fill="auto"/>
          </w:tcPr>
          <w:p w14:paraId="0C855532" w14:textId="4A1718C1" w:rsidR="00021480" w:rsidRPr="007078C1" w:rsidRDefault="00E972E9" w:rsidP="00A807A2">
            <w:pPr>
              <w:rPr>
                <w:rFonts w:ascii="Arial" w:hAnsi="Arial" w:cs="Arial"/>
                <w:sz w:val="24"/>
                <w:szCs w:val="24"/>
              </w:rPr>
            </w:pPr>
            <w:r>
              <w:rPr>
                <w:rFonts w:ascii="Arial" w:hAnsi="Arial" w:cs="Arial"/>
                <w:sz w:val="24"/>
                <w:szCs w:val="24"/>
              </w:rPr>
              <w:lastRenderedPageBreak/>
              <w:t>8</w:t>
            </w:r>
          </w:p>
        </w:tc>
        <w:tc>
          <w:tcPr>
            <w:tcW w:w="1985" w:type="dxa"/>
            <w:shd w:val="clear" w:color="auto" w:fill="auto"/>
          </w:tcPr>
          <w:p w14:paraId="0A1C6226" w14:textId="41CE8AB1" w:rsidR="00021480" w:rsidRDefault="00021480" w:rsidP="003E716B">
            <w:pPr>
              <w:rPr>
                <w:rFonts w:ascii="Arial" w:hAnsi="Arial" w:cs="Arial"/>
                <w:sz w:val="24"/>
                <w:szCs w:val="24"/>
              </w:rPr>
            </w:pPr>
            <w:r>
              <w:rPr>
                <w:rFonts w:ascii="Arial" w:hAnsi="Arial" w:cs="Arial"/>
                <w:sz w:val="24"/>
                <w:szCs w:val="24"/>
              </w:rPr>
              <w:t>Part 12</w:t>
            </w:r>
            <w:r w:rsidR="00D83D37">
              <w:rPr>
                <w:rFonts w:ascii="Arial" w:hAnsi="Arial" w:cs="Arial"/>
                <w:sz w:val="24"/>
                <w:szCs w:val="24"/>
              </w:rPr>
              <w:t>.7</w:t>
            </w:r>
            <w:r>
              <w:rPr>
                <w:rFonts w:ascii="Arial" w:hAnsi="Arial" w:cs="Arial"/>
                <w:sz w:val="24"/>
                <w:szCs w:val="24"/>
              </w:rPr>
              <w:t xml:space="preserve"> Cabinet procedures</w:t>
            </w:r>
            <w:r w:rsidR="00D83D37">
              <w:rPr>
                <w:rFonts w:ascii="Arial" w:hAnsi="Arial" w:cs="Arial"/>
                <w:sz w:val="24"/>
                <w:szCs w:val="24"/>
              </w:rPr>
              <w:t>: order of business</w:t>
            </w:r>
          </w:p>
          <w:p w14:paraId="7DEE04F9" w14:textId="77777777" w:rsidR="00021480" w:rsidRDefault="00021480" w:rsidP="003E716B">
            <w:pPr>
              <w:rPr>
                <w:rFonts w:ascii="Arial" w:hAnsi="Arial" w:cs="Arial"/>
                <w:sz w:val="24"/>
                <w:szCs w:val="24"/>
              </w:rPr>
            </w:pPr>
          </w:p>
          <w:p w14:paraId="2F41B500" w14:textId="77777777" w:rsidR="00021480" w:rsidRDefault="00021480" w:rsidP="003E716B">
            <w:pPr>
              <w:rPr>
                <w:rFonts w:ascii="Arial" w:hAnsi="Arial" w:cs="Arial"/>
                <w:sz w:val="24"/>
                <w:szCs w:val="24"/>
              </w:rPr>
            </w:pPr>
          </w:p>
        </w:tc>
        <w:tc>
          <w:tcPr>
            <w:tcW w:w="6095" w:type="dxa"/>
          </w:tcPr>
          <w:p w14:paraId="06C99440" w14:textId="28287C43" w:rsidR="00021480" w:rsidRDefault="006A553D" w:rsidP="00E20460">
            <w:pPr>
              <w:rPr>
                <w:rFonts w:ascii="Arial" w:hAnsi="Arial" w:cs="Arial"/>
                <w:sz w:val="24"/>
                <w:szCs w:val="24"/>
              </w:rPr>
            </w:pPr>
            <w:r w:rsidRPr="006A553D">
              <w:rPr>
                <w:rFonts w:ascii="Arial" w:hAnsi="Arial" w:cs="Arial"/>
                <w:b/>
                <w:sz w:val="24"/>
                <w:szCs w:val="24"/>
              </w:rPr>
              <w:t>Proposal:</w:t>
            </w:r>
            <w:r>
              <w:rPr>
                <w:rFonts w:ascii="Arial" w:hAnsi="Arial" w:cs="Arial"/>
                <w:sz w:val="24"/>
                <w:szCs w:val="24"/>
              </w:rPr>
              <w:t xml:space="preserve"> </w:t>
            </w:r>
            <w:r w:rsidR="00021480">
              <w:rPr>
                <w:rFonts w:ascii="Arial" w:hAnsi="Arial" w:cs="Arial"/>
                <w:sz w:val="24"/>
                <w:szCs w:val="24"/>
              </w:rPr>
              <w:t>To consider including a rule that Cabinet must respond to recommendations from the Scrut</w:t>
            </w:r>
            <w:r w:rsidR="002375CA">
              <w:rPr>
                <w:rFonts w:ascii="Arial" w:hAnsi="Arial" w:cs="Arial"/>
                <w:sz w:val="24"/>
                <w:szCs w:val="24"/>
              </w:rPr>
              <w:t xml:space="preserve">iny Committee within two months unless the Chair of the Scrutiny Committee agrees to an extension. </w:t>
            </w:r>
          </w:p>
          <w:p w14:paraId="7E490728" w14:textId="77777777" w:rsidR="00021480" w:rsidRDefault="00021480" w:rsidP="00E20460">
            <w:pPr>
              <w:rPr>
                <w:rFonts w:ascii="Arial" w:hAnsi="Arial" w:cs="Arial"/>
                <w:sz w:val="24"/>
                <w:szCs w:val="24"/>
              </w:rPr>
            </w:pPr>
          </w:p>
          <w:p w14:paraId="52A4744E" w14:textId="77777777" w:rsidR="00021480" w:rsidRDefault="00021480" w:rsidP="00E20460">
            <w:pPr>
              <w:rPr>
                <w:rFonts w:ascii="Arial" w:hAnsi="Arial" w:cs="Arial"/>
                <w:sz w:val="24"/>
                <w:szCs w:val="24"/>
              </w:rPr>
            </w:pPr>
            <w:r w:rsidRPr="006A553D">
              <w:rPr>
                <w:rFonts w:ascii="Arial" w:hAnsi="Arial" w:cs="Arial"/>
                <w:b/>
                <w:sz w:val="24"/>
                <w:szCs w:val="24"/>
              </w:rPr>
              <w:t>Background:</w:t>
            </w:r>
            <w:r>
              <w:rPr>
                <w:rFonts w:ascii="Arial" w:hAnsi="Arial" w:cs="Arial"/>
                <w:sz w:val="24"/>
                <w:szCs w:val="24"/>
              </w:rPr>
              <w:t xml:space="preserve"> The duty of the executive to respond to Scrutiny within two months is set out in 9FE of the Local Government 2000. </w:t>
            </w:r>
          </w:p>
        </w:tc>
        <w:tc>
          <w:tcPr>
            <w:tcW w:w="6237" w:type="dxa"/>
          </w:tcPr>
          <w:p w14:paraId="7FB89C95" w14:textId="6D248099" w:rsidR="00B369D5" w:rsidRDefault="00D83D37" w:rsidP="006A553D">
            <w:pPr>
              <w:rPr>
                <w:rFonts w:ascii="Arial" w:hAnsi="Arial" w:cs="Arial"/>
                <w:sz w:val="24"/>
                <w:szCs w:val="24"/>
              </w:rPr>
            </w:pPr>
            <w:r>
              <w:rPr>
                <w:rFonts w:ascii="Arial" w:hAnsi="Arial" w:cs="Arial"/>
                <w:sz w:val="24"/>
                <w:szCs w:val="24"/>
              </w:rPr>
              <w:t>12.7 Order of business</w:t>
            </w:r>
          </w:p>
          <w:p w14:paraId="2BAB807E" w14:textId="595001EB" w:rsidR="00D83D37" w:rsidRDefault="00D83D37" w:rsidP="006A553D">
            <w:pPr>
              <w:rPr>
                <w:rFonts w:ascii="Arial" w:hAnsi="Arial" w:cs="Arial"/>
                <w:sz w:val="24"/>
                <w:szCs w:val="24"/>
              </w:rPr>
            </w:pPr>
            <w:r>
              <w:rPr>
                <w:rFonts w:ascii="Arial" w:hAnsi="Arial" w:cs="Arial"/>
                <w:sz w:val="24"/>
                <w:szCs w:val="24"/>
              </w:rPr>
              <w:t>…</w:t>
            </w:r>
          </w:p>
          <w:p w14:paraId="6D6667D7" w14:textId="26BF6773" w:rsidR="00D83D37" w:rsidRPr="00BC583A" w:rsidRDefault="00D83D37" w:rsidP="006A553D">
            <w:pPr>
              <w:rPr>
                <w:rFonts w:ascii="Arial" w:hAnsi="Arial" w:cs="Arial"/>
                <w:sz w:val="24"/>
                <w:szCs w:val="24"/>
              </w:rPr>
            </w:pPr>
            <w:r w:rsidRPr="00D83D37">
              <w:rPr>
                <w:rFonts w:ascii="Arial" w:hAnsi="Arial" w:cs="Arial"/>
                <w:sz w:val="24"/>
                <w:szCs w:val="24"/>
              </w:rPr>
              <w:t>(e) reports from the Scrutiny Committee</w:t>
            </w:r>
          </w:p>
          <w:p w14:paraId="161FB9BD" w14:textId="77777777" w:rsidR="00B369D5" w:rsidRDefault="00A110CA" w:rsidP="00D83D37">
            <w:pPr>
              <w:rPr>
                <w:rFonts w:ascii="Arial" w:hAnsi="Arial" w:cs="Arial"/>
                <w:sz w:val="24"/>
                <w:szCs w:val="18"/>
                <w:u w:val="single"/>
                <w:shd w:val="clear" w:color="auto" w:fill="FFFFFF"/>
              </w:rPr>
            </w:pPr>
            <w:r w:rsidRPr="00D83D37">
              <w:rPr>
                <w:rFonts w:ascii="Arial" w:hAnsi="Arial" w:cs="Arial"/>
                <w:sz w:val="24"/>
                <w:szCs w:val="18"/>
                <w:u w:val="single"/>
                <w:shd w:val="clear" w:color="auto" w:fill="FFFFFF"/>
              </w:rPr>
              <w:t xml:space="preserve">Cabinet will respond to </w:t>
            </w:r>
            <w:r w:rsidR="00D83D37">
              <w:rPr>
                <w:rFonts w:ascii="Arial" w:hAnsi="Arial" w:cs="Arial"/>
                <w:sz w:val="24"/>
                <w:szCs w:val="18"/>
                <w:u w:val="single"/>
                <w:shd w:val="clear" w:color="auto" w:fill="FFFFFF"/>
              </w:rPr>
              <w:t>Scrutiny reports</w:t>
            </w:r>
            <w:r w:rsidRPr="00D83D37">
              <w:rPr>
                <w:rFonts w:ascii="Arial" w:hAnsi="Arial" w:cs="Arial"/>
                <w:sz w:val="24"/>
                <w:szCs w:val="18"/>
                <w:u w:val="single"/>
                <w:shd w:val="clear" w:color="auto" w:fill="FFFFFF"/>
              </w:rPr>
              <w:t xml:space="preserve"> within two months</w:t>
            </w:r>
            <w:r w:rsidR="00D83D37" w:rsidRPr="00D83D37">
              <w:rPr>
                <w:rFonts w:ascii="Arial" w:hAnsi="Arial" w:cs="Arial"/>
                <w:sz w:val="24"/>
                <w:szCs w:val="18"/>
                <w:u w:val="single"/>
                <w:shd w:val="clear" w:color="auto" w:fill="FFFFFF"/>
              </w:rPr>
              <w:t xml:space="preserve"> of the date of the Cabinet meeting</w:t>
            </w:r>
            <w:r w:rsidR="00D83D37">
              <w:rPr>
                <w:rFonts w:ascii="Arial" w:hAnsi="Arial" w:cs="Arial"/>
                <w:sz w:val="24"/>
                <w:szCs w:val="18"/>
                <w:u w:val="single"/>
                <w:shd w:val="clear" w:color="auto" w:fill="FFFFFF"/>
              </w:rPr>
              <w:t xml:space="preserve"> unless</w:t>
            </w:r>
            <w:r w:rsidRPr="00D83D37">
              <w:rPr>
                <w:rFonts w:ascii="Arial" w:hAnsi="Arial" w:cs="Arial"/>
                <w:sz w:val="24"/>
                <w:szCs w:val="18"/>
                <w:u w:val="single"/>
                <w:shd w:val="clear" w:color="auto" w:fill="FFFFFF"/>
              </w:rPr>
              <w:t xml:space="preserve"> the Chair of the Scrutiny Committee</w:t>
            </w:r>
            <w:r w:rsidR="00D83D37">
              <w:rPr>
                <w:rFonts w:ascii="Arial" w:hAnsi="Arial" w:cs="Arial"/>
                <w:sz w:val="24"/>
                <w:szCs w:val="18"/>
                <w:u w:val="single"/>
                <w:shd w:val="clear" w:color="auto" w:fill="FFFFFF"/>
              </w:rPr>
              <w:t xml:space="preserve"> agrees otherwise</w:t>
            </w:r>
            <w:r w:rsidRPr="00D83D37">
              <w:rPr>
                <w:rFonts w:ascii="Arial" w:hAnsi="Arial" w:cs="Arial"/>
                <w:sz w:val="24"/>
                <w:szCs w:val="18"/>
                <w:u w:val="single"/>
                <w:shd w:val="clear" w:color="auto" w:fill="FFFFFF"/>
              </w:rPr>
              <w:t>.</w:t>
            </w:r>
          </w:p>
          <w:p w14:paraId="0A0EA809" w14:textId="63EF9014" w:rsidR="00676122" w:rsidRPr="00676122" w:rsidRDefault="00676122" w:rsidP="00D83D37">
            <w:pPr>
              <w:rPr>
                <w:rFonts w:ascii="Arial" w:hAnsi="Arial" w:cs="Arial"/>
                <w:i/>
                <w:sz w:val="24"/>
                <w:szCs w:val="24"/>
              </w:rPr>
            </w:pPr>
            <w:r>
              <w:rPr>
                <w:rFonts w:ascii="Arial" w:hAnsi="Arial" w:cs="Arial"/>
                <w:sz w:val="24"/>
                <w:szCs w:val="18"/>
                <w:shd w:val="clear" w:color="auto" w:fill="FFFFFF"/>
              </w:rPr>
              <w:t>...</w:t>
            </w:r>
          </w:p>
        </w:tc>
      </w:tr>
      <w:tr w:rsidR="00021480" w14:paraId="5B573091" w14:textId="77777777" w:rsidTr="00A819BC">
        <w:tc>
          <w:tcPr>
            <w:tcW w:w="568" w:type="dxa"/>
            <w:shd w:val="clear" w:color="auto" w:fill="auto"/>
          </w:tcPr>
          <w:p w14:paraId="1EFF5B98" w14:textId="4F5B9575" w:rsidR="00021480" w:rsidRPr="007078C1" w:rsidRDefault="00E972E9" w:rsidP="00F11A9B">
            <w:pPr>
              <w:rPr>
                <w:rFonts w:ascii="Arial" w:hAnsi="Arial" w:cs="Arial"/>
                <w:sz w:val="24"/>
                <w:szCs w:val="24"/>
              </w:rPr>
            </w:pPr>
            <w:r>
              <w:rPr>
                <w:rFonts w:ascii="Arial" w:hAnsi="Arial" w:cs="Arial"/>
                <w:sz w:val="24"/>
                <w:szCs w:val="24"/>
              </w:rPr>
              <w:t>9</w:t>
            </w:r>
          </w:p>
        </w:tc>
        <w:tc>
          <w:tcPr>
            <w:tcW w:w="1985" w:type="dxa"/>
            <w:shd w:val="clear" w:color="auto" w:fill="auto"/>
          </w:tcPr>
          <w:p w14:paraId="0787C0A3" w14:textId="2723AF0D" w:rsidR="00021480" w:rsidRDefault="00021480" w:rsidP="00F11A9B">
            <w:pPr>
              <w:rPr>
                <w:rFonts w:ascii="Arial" w:hAnsi="Arial" w:cs="Arial"/>
                <w:sz w:val="24"/>
                <w:szCs w:val="24"/>
              </w:rPr>
            </w:pPr>
            <w:r>
              <w:rPr>
                <w:rFonts w:ascii="Arial" w:hAnsi="Arial" w:cs="Arial"/>
                <w:sz w:val="24"/>
                <w:szCs w:val="24"/>
              </w:rPr>
              <w:t>14.6: Meetings of committees</w:t>
            </w:r>
          </w:p>
        </w:tc>
        <w:tc>
          <w:tcPr>
            <w:tcW w:w="6095" w:type="dxa"/>
          </w:tcPr>
          <w:p w14:paraId="205A0E9B" w14:textId="03070BF2" w:rsidR="00021480" w:rsidRDefault="006A553D" w:rsidP="00C365FC">
            <w:pPr>
              <w:rPr>
                <w:rFonts w:ascii="Arial" w:hAnsi="Arial" w:cs="Arial"/>
                <w:sz w:val="24"/>
                <w:szCs w:val="24"/>
              </w:rPr>
            </w:pPr>
            <w:r w:rsidRPr="006A553D">
              <w:rPr>
                <w:rFonts w:ascii="Arial" w:hAnsi="Arial" w:cs="Arial"/>
                <w:b/>
                <w:sz w:val="24"/>
                <w:szCs w:val="24"/>
              </w:rPr>
              <w:t>Proposal:</w:t>
            </w:r>
            <w:r>
              <w:rPr>
                <w:rFonts w:ascii="Arial" w:hAnsi="Arial" w:cs="Arial"/>
                <w:sz w:val="24"/>
                <w:szCs w:val="24"/>
              </w:rPr>
              <w:t xml:space="preserve"> </w:t>
            </w:r>
            <w:r w:rsidR="002375CA" w:rsidRPr="002375CA">
              <w:rPr>
                <w:rFonts w:ascii="Arial" w:hAnsi="Arial" w:cs="Arial"/>
                <w:sz w:val="24"/>
                <w:szCs w:val="24"/>
              </w:rPr>
              <w:t>To include a rule that the Head of Law and Governance may cancel or reschedule a meeting in exceptional circumstances after consulting with the Chair, Group Leaders and the Chief Executive, if the agenda has not already been published.</w:t>
            </w:r>
          </w:p>
          <w:p w14:paraId="39EF1817" w14:textId="77777777" w:rsidR="002375CA" w:rsidRDefault="002375CA" w:rsidP="00C365FC">
            <w:pPr>
              <w:rPr>
                <w:rFonts w:ascii="Arial" w:hAnsi="Arial" w:cs="Arial"/>
                <w:sz w:val="24"/>
                <w:szCs w:val="24"/>
              </w:rPr>
            </w:pPr>
          </w:p>
          <w:p w14:paraId="7DF5F42B" w14:textId="4154E0A9" w:rsidR="002375CA" w:rsidRDefault="006A553D" w:rsidP="00C365FC">
            <w:pPr>
              <w:rPr>
                <w:rFonts w:ascii="Arial" w:hAnsi="Arial" w:cs="Arial"/>
                <w:sz w:val="24"/>
                <w:szCs w:val="24"/>
              </w:rPr>
            </w:pPr>
            <w:r w:rsidRPr="006A553D">
              <w:rPr>
                <w:rFonts w:ascii="Arial" w:hAnsi="Arial" w:cs="Arial"/>
                <w:b/>
                <w:sz w:val="24"/>
                <w:szCs w:val="24"/>
              </w:rPr>
              <w:t>Rationale:</w:t>
            </w:r>
            <w:r>
              <w:rPr>
                <w:rFonts w:ascii="Arial" w:hAnsi="Arial" w:cs="Arial"/>
                <w:sz w:val="24"/>
                <w:szCs w:val="24"/>
              </w:rPr>
              <w:t xml:space="preserve"> </w:t>
            </w:r>
            <w:r w:rsidR="002375CA" w:rsidRPr="002375CA">
              <w:rPr>
                <w:rFonts w:ascii="Arial" w:hAnsi="Arial" w:cs="Arial"/>
                <w:sz w:val="24"/>
                <w:szCs w:val="24"/>
              </w:rPr>
              <w:t>To include a means of cancelling or rescheduling meetings before an agenda has been published in exceptional circumstances e.g. death of a senior national figure, national lockdown. If the agenda has been published the meeting must to go ahead (and will be adjourned if the meeting decides or if there is no quorum within 15 minutes).</w:t>
            </w:r>
          </w:p>
        </w:tc>
        <w:tc>
          <w:tcPr>
            <w:tcW w:w="6237" w:type="dxa"/>
          </w:tcPr>
          <w:p w14:paraId="176C72A6" w14:textId="77777777" w:rsidR="00021480" w:rsidRPr="00653C6F" w:rsidRDefault="00021480" w:rsidP="00653C6F">
            <w:pPr>
              <w:rPr>
                <w:rFonts w:ascii="Arial" w:hAnsi="Arial" w:cs="Arial"/>
                <w:sz w:val="24"/>
                <w:szCs w:val="24"/>
              </w:rPr>
            </w:pPr>
            <w:r w:rsidRPr="00653C6F">
              <w:rPr>
                <w:rFonts w:ascii="Arial" w:hAnsi="Arial" w:cs="Arial"/>
                <w:sz w:val="24"/>
                <w:szCs w:val="24"/>
              </w:rPr>
              <w:t>(a) Cancelling or rescheduling a meeting</w:t>
            </w:r>
          </w:p>
          <w:p w14:paraId="03739093" w14:textId="77777777" w:rsidR="00021480" w:rsidRDefault="00021480" w:rsidP="00653C6F">
            <w:pPr>
              <w:rPr>
                <w:rFonts w:ascii="Arial" w:hAnsi="Arial" w:cs="Arial"/>
                <w:sz w:val="24"/>
                <w:szCs w:val="24"/>
              </w:rPr>
            </w:pPr>
            <w:r w:rsidRPr="00653C6F">
              <w:rPr>
                <w:rFonts w:ascii="Arial" w:hAnsi="Arial" w:cs="Arial"/>
                <w:sz w:val="24"/>
                <w:szCs w:val="24"/>
              </w:rPr>
              <w:t>If a committee has insufficient business for one of its fixed meetings, the Head of Law and Governance can cancel or reschedule it after consulting the chair of the committee.</w:t>
            </w:r>
          </w:p>
          <w:p w14:paraId="037E0D34" w14:textId="77777777" w:rsidR="00021480" w:rsidRDefault="00021480" w:rsidP="00653C6F">
            <w:pPr>
              <w:rPr>
                <w:rFonts w:ascii="Arial" w:hAnsi="Arial" w:cs="Arial"/>
                <w:sz w:val="24"/>
                <w:szCs w:val="24"/>
              </w:rPr>
            </w:pPr>
          </w:p>
          <w:p w14:paraId="5FA51659" w14:textId="0507281C" w:rsidR="00021480" w:rsidRPr="00653C6F" w:rsidRDefault="00021480" w:rsidP="001C5AFD">
            <w:pPr>
              <w:rPr>
                <w:rFonts w:ascii="Arial" w:hAnsi="Arial" w:cs="Arial"/>
                <w:sz w:val="24"/>
                <w:szCs w:val="24"/>
                <w:highlight w:val="green"/>
                <w:u w:val="single"/>
              </w:rPr>
            </w:pPr>
            <w:r>
              <w:rPr>
                <w:rFonts w:ascii="Arial" w:hAnsi="Arial" w:cs="Arial"/>
                <w:sz w:val="24"/>
                <w:szCs w:val="24"/>
                <w:u w:val="single"/>
              </w:rPr>
              <w:t>The Head of Law and Governance may cancel or reschedule a meeting in exceptional circumstances</w:t>
            </w:r>
            <w:r w:rsidR="00A110CA">
              <w:rPr>
                <w:rFonts w:ascii="Arial" w:hAnsi="Arial" w:cs="Arial"/>
                <w:sz w:val="24"/>
                <w:szCs w:val="24"/>
                <w:u w:val="single"/>
              </w:rPr>
              <w:t xml:space="preserve"> </w:t>
            </w:r>
            <w:r w:rsidR="001C5AFD">
              <w:rPr>
                <w:rFonts w:ascii="Arial" w:hAnsi="Arial" w:cs="Arial"/>
                <w:sz w:val="24"/>
                <w:szCs w:val="24"/>
                <w:u w:val="single"/>
              </w:rPr>
              <w:t>in consultation with</w:t>
            </w:r>
            <w:r>
              <w:rPr>
                <w:rFonts w:ascii="Arial" w:hAnsi="Arial" w:cs="Arial"/>
                <w:sz w:val="24"/>
                <w:szCs w:val="24"/>
                <w:u w:val="single"/>
              </w:rPr>
              <w:t xml:space="preserve"> the Chair, Group Leaders and the Chief Executive, if the agenda has not already been published.</w:t>
            </w:r>
          </w:p>
        </w:tc>
      </w:tr>
      <w:tr w:rsidR="00021480" w14:paraId="49A3B67A" w14:textId="77777777" w:rsidTr="00A819BC">
        <w:tc>
          <w:tcPr>
            <w:tcW w:w="568" w:type="dxa"/>
            <w:shd w:val="clear" w:color="auto" w:fill="auto"/>
          </w:tcPr>
          <w:p w14:paraId="0932FF04" w14:textId="0DA72382" w:rsidR="00021480" w:rsidRPr="007078C1" w:rsidRDefault="00E972E9" w:rsidP="00DB1C29">
            <w:pPr>
              <w:rPr>
                <w:rFonts w:ascii="Arial" w:hAnsi="Arial" w:cs="Arial"/>
                <w:sz w:val="24"/>
                <w:szCs w:val="24"/>
              </w:rPr>
            </w:pPr>
            <w:r>
              <w:rPr>
                <w:rFonts w:ascii="Arial" w:hAnsi="Arial" w:cs="Arial"/>
                <w:sz w:val="24"/>
                <w:szCs w:val="24"/>
              </w:rPr>
              <w:t>10</w:t>
            </w:r>
          </w:p>
        </w:tc>
        <w:tc>
          <w:tcPr>
            <w:tcW w:w="1985" w:type="dxa"/>
            <w:shd w:val="clear" w:color="auto" w:fill="auto"/>
          </w:tcPr>
          <w:p w14:paraId="7F9F7777" w14:textId="19AC1220" w:rsidR="00021480" w:rsidRDefault="00021480" w:rsidP="00DB1C29">
            <w:pPr>
              <w:rPr>
                <w:rFonts w:ascii="Arial" w:hAnsi="Arial" w:cs="Arial"/>
                <w:sz w:val="24"/>
                <w:szCs w:val="24"/>
              </w:rPr>
            </w:pPr>
            <w:r>
              <w:rPr>
                <w:rFonts w:ascii="Arial" w:hAnsi="Arial" w:cs="Arial"/>
                <w:sz w:val="24"/>
                <w:szCs w:val="24"/>
              </w:rPr>
              <w:t>Part 15.</w:t>
            </w:r>
            <w:r w:rsidR="00676122">
              <w:rPr>
                <w:rFonts w:ascii="Arial" w:hAnsi="Arial" w:cs="Arial"/>
                <w:sz w:val="24"/>
                <w:szCs w:val="24"/>
              </w:rPr>
              <w:t>12</w:t>
            </w:r>
            <w:r>
              <w:rPr>
                <w:rFonts w:ascii="Arial" w:hAnsi="Arial" w:cs="Arial"/>
                <w:sz w:val="24"/>
                <w:szCs w:val="24"/>
              </w:rPr>
              <w:t xml:space="preserve">  Access to information</w:t>
            </w:r>
          </w:p>
          <w:p w14:paraId="18C84C9D" w14:textId="6CD816C2" w:rsidR="00021480" w:rsidRPr="00E77065" w:rsidRDefault="00021480" w:rsidP="00DB1C29">
            <w:pPr>
              <w:rPr>
                <w:rFonts w:ascii="Arial" w:hAnsi="Arial" w:cs="Arial"/>
                <w:sz w:val="24"/>
                <w:szCs w:val="24"/>
              </w:rPr>
            </w:pPr>
          </w:p>
        </w:tc>
        <w:tc>
          <w:tcPr>
            <w:tcW w:w="6095" w:type="dxa"/>
          </w:tcPr>
          <w:p w14:paraId="36D9F01F" w14:textId="6161CA98" w:rsidR="00021480" w:rsidRDefault="006808DA" w:rsidP="00DB1C29">
            <w:pPr>
              <w:rPr>
                <w:rFonts w:ascii="Arial" w:hAnsi="Arial" w:cs="Arial"/>
                <w:sz w:val="24"/>
                <w:szCs w:val="24"/>
              </w:rPr>
            </w:pPr>
            <w:r w:rsidRPr="006808DA">
              <w:rPr>
                <w:rFonts w:ascii="Arial" w:hAnsi="Arial" w:cs="Arial"/>
                <w:b/>
                <w:sz w:val="24"/>
                <w:szCs w:val="24"/>
              </w:rPr>
              <w:t xml:space="preserve">Proposal: </w:t>
            </w:r>
            <w:r w:rsidR="00021480">
              <w:rPr>
                <w:rFonts w:ascii="Arial" w:hAnsi="Arial" w:cs="Arial"/>
                <w:sz w:val="24"/>
                <w:szCs w:val="24"/>
              </w:rPr>
              <w:t>To include a rule in the Cabinet procedures that all members are invited to attend private parts of Cabinet meetings where exempt information is to be considered.</w:t>
            </w:r>
          </w:p>
          <w:p w14:paraId="61DDA5A8" w14:textId="77777777" w:rsidR="00021480" w:rsidRDefault="00021480" w:rsidP="00DB1C29">
            <w:pPr>
              <w:rPr>
                <w:rFonts w:ascii="Arial" w:hAnsi="Arial" w:cs="Arial"/>
                <w:sz w:val="24"/>
                <w:szCs w:val="24"/>
              </w:rPr>
            </w:pPr>
          </w:p>
          <w:p w14:paraId="572FEC9D" w14:textId="23AF0024" w:rsidR="00021480" w:rsidRDefault="00021480" w:rsidP="006808DA">
            <w:pPr>
              <w:rPr>
                <w:rFonts w:ascii="Arial" w:hAnsi="Arial" w:cs="Arial"/>
                <w:sz w:val="24"/>
                <w:szCs w:val="24"/>
              </w:rPr>
            </w:pPr>
            <w:r w:rsidRPr="006808DA">
              <w:rPr>
                <w:rFonts w:ascii="Arial" w:hAnsi="Arial" w:cs="Arial"/>
                <w:b/>
                <w:sz w:val="24"/>
                <w:szCs w:val="24"/>
              </w:rPr>
              <w:t>Background:</w:t>
            </w:r>
            <w:r>
              <w:rPr>
                <w:rFonts w:ascii="Arial" w:hAnsi="Arial" w:cs="Arial"/>
                <w:sz w:val="24"/>
                <w:szCs w:val="24"/>
              </w:rPr>
              <w:t xml:space="preserve"> N</w:t>
            </w:r>
            <w:r w:rsidRPr="00E20460">
              <w:rPr>
                <w:rFonts w:ascii="Arial" w:hAnsi="Arial" w:cs="Arial"/>
                <w:sz w:val="24"/>
                <w:szCs w:val="24"/>
              </w:rPr>
              <w:t xml:space="preserve">on-executive members </w:t>
            </w:r>
            <w:r>
              <w:rPr>
                <w:rFonts w:ascii="Arial" w:hAnsi="Arial" w:cs="Arial"/>
                <w:sz w:val="24"/>
                <w:szCs w:val="24"/>
              </w:rPr>
              <w:t>have a right to</w:t>
            </w:r>
            <w:r w:rsidRPr="00E20460">
              <w:rPr>
                <w:rFonts w:ascii="Arial" w:hAnsi="Arial" w:cs="Arial"/>
                <w:sz w:val="24"/>
                <w:szCs w:val="24"/>
              </w:rPr>
              <w:t xml:space="preserve"> attend private meetings of the executive by invitation. Custom and practice </w:t>
            </w:r>
            <w:r>
              <w:rPr>
                <w:rFonts w:ascii="Arial" w:hAnsi="Arial" w:cs="Arial"/>
                <w:sz w:val="24"/>
                <w:szCs w:val="24"/>
              </w:rPr>
              <w:t>is</w:t>
            </w:r>
            <w:r w:rsidRPr="00E20460">
              <w:rPr>
                <w:rFonts w:ascii="Arial" w:hAnsi="Arial" w:cs="Arial"/>
                <w:sz w:val="24"/>
                <w:szCs w:val="24"/>
              </w:rPr>
              <w:t xml:space="preserve"> that this is an open invitation </w:t>
            </w:r>
            <w:r>
              <w:rPr>
                <w:rFonts w:ascii="Arial" w:hAnsi="Arial" w:cs="Arial"/>
                <w:sz w:val="24"/>
                <w:szCs w:val="24"/>
              </w:rPr>
              <w:t>to all members</w:t>
            </w:r>
            <w:r w:rsidRPr="00E20460">
              <w:rPr>
                <w:rFonts w:ascii="Arial" w:hAnsi="Arial" w:cs="Arial"/>
                <w:sz w:val="24"/>
                <w:szCs w:val="24"/>
              </w:rPr>
              <w:t xml:space="preserve">. This principle of </w:t>
            </w:r>
            <w:r>
              <w:rPr>
                <w:rFonts w:ascii="Arial" w:hAnsi="Arial" w:cs="Arial"/>
                <w:sz w:val="24"/>
                <w:szCs w:val="24"/>
              </w:rPr>
              <w:t>openness is</w:t>
            </w:r>
            <w:r w:rsidRPr="00E20460">
              <w:rPr>
                <w:rFonts w:ascii="Arial" w:hAnsi="Arial" w:cs="Arial"/>
                <w:sz w:val="24"/>
                <w:szCs w:val="24"/>
              </w:rPr>
              <w:t xml:space="preserve"> expressed in the </w:t>
            </w:r>
            <w:r w:rsidR="006808DA">
              <w:rPr>
                <w:rFonts w:ascii="Arial" w:hAnsi="Arial" w:cs="Arial"/>
                <w:sz w:val="24"/>
                <w:szCs w:val="24"/>
              </w:rPr>
              <w:t>Shareholder and Joint Venture Group</w:t>
            </w:r>
            <w:r w:rsidRPr="00E20460">
              <w:rPr>
                <w:rFonts w:ascii="Arial" w:hAnsi="Arial" w:cs="Arial"/>
                <w:sz w:val="24"/>
                <w:szCs w:val="24"/>
              </w:rPr>
              <w:t xml:space="preserve"> terms of reference</w:t>
            </w:r>
            <w:r>
              <w:rPr>
                <w:rFonts w:ascii="Arial" w:hAnsi="Arial" w:cs="Arial"/>
                <w:sz w:val="24"/>
                <w:szCs w:val="24"/>
              </w:rPr>
              <w:t xml:space="preserve"> (Annex to Part 3). </w:t>
            </w:r>
          </w:p>
        </w:tc>
        <w:tc>
          <w:tcPr>
            <w:tcW w:w="6237" w:type="dxa"/>
          </w:tcPr>
          <w:p w14:paraId="3034699F" w14:textId="4CFB2359" w:rsidR="00676122" w:rsidRPr="00676122" w:rsidRDefault="00676122" w:rsidP="00676122">
            <w:pPr>
              <w:autoSpaceDE w:val="0"/>
              <w:autoSpaceDN w:val="0"/>
              <w:adjustRightInd w:val="0"/>
              <w:rPr>
                <w:rFonts w:ascii="Arial Bold,Bold" w:hAnsi="Arial Bold,Bold" w:cs="Arial Bold,Bold"/>
                <w:bCs/>
                <w:sz w:val="24"/>
                <w:szCs w:val="24"/>
              </w:rPr>
            </w:pPr>
            <w:r w:rsidRPr="00676122">
              <w:rPr>
                <w:rFonts w:ascii="Arial Bold,Bold" w:hAnsi="Arial Bold,Bold" w:cs="Arial Bold,Bold"/>
                <w:bCs/>
                <w:sz w:val="24"/>
                <w:szCs w:val="24"/>
              </w:rPr>
              <w:t xml:space="preserve">15.12 Extra rights of access to information for </w:t>
            </w:r>
            <w:r>
              <w:rPr>
                <w:rFonts w:ascii="Arial Bold,Bold" w:hAnsi="Arial Bold,Bold" w:cs="Arial Bold,Bold"/>
                <w:bCs/>
                <w:sz w:val="24"/>
                <w:szCs w:val="24"/>
              </w:rPr>
              <w:t>c</w:t>
            </w:r>
            <w:r w:rsidRPr="00676122">
              <w:rPr>
                <w:rFonts w:ascii="Arial Bold,Bold" w:hAnsi="Arial Bold,Bold" w:cs="Arial Bold,Bold"/>
                <w:bCs/>
                <w:sz w:val="24"/>
                <w:szCs w:val="24"/>
              </w:rPr>
              <w:t>ouncillors</w:t>
            </w:r>
          </w:p>
          <w:p w14:paraId="24D69A51" w14:textId="77777777" w:rsidR="00676122" w:rsidRDefault="00676122" w:rsidP="00676122">
            <w:pPr>
              <w:autoSpaceDE w:val="0"/>
              <w:autoSpaceDN w:val="0"/>
              <w:adjustRightInd w:val="0"/>
              <w:rPr>
                <w:rFonts w:ascii="Arial Bold,Bold" w:hAnsi="Arial Bold,Bold" w:cs="Arial Bold,Bold"/>
                <w:b/>
                <w:bCs/>
                <w:sz w:val="24"/>
                <w:szCs w:val="24"/>
              </w:rPr>
            </w:pPr>
          </w:p>
          <w:p w14:paraId="4815AF0B" w14:textId="3DB15AD7" w:rsidR="00676122" w:rsidRDefault="00676122" w:rsidP="00676122">
            <w:pPr>
              <w:autoSpaceDE w:val="0"/>
              <w:autoSpaceDN w:val="0"/>
              <w:adjustRightInd w:val="0"/>
              <w:rPr>
                <w:rFonts w:ascii="Arial" w:hAnsi="Arial" w:cs="Arial"/>
                <w:sz w:val="24"/>
                <w:szCs w:val="24"/>
              </w:rPr>
            </w:pPr>
            <w:r>
              <w:rPr>
                <w:rFonts w:ascii="Arial" w:hAnsi="Arial" w:cs="Arial"/>
                <w:sz w:val="24"/>
                <w:szCs w:val="24"/>
              </w:rPr>
              <w:t>Any councillor can look at any documents seen or controlled by the Cabinet that are relevant to:</w:t>
            </w:r>
          </w:p>
          <w:p w14:paraId="02E9165C"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Decisions to be taken by the Cabinet in public</w:t>
            </w:r>
          </w:p>
          <w:p w14:paraId="430B8756"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Decisions taken by the Cabinet in private</w:t>
            </w:r>
          </w:p>
          <w:p w14:paraId="326534A7" w14:textId="77777777" w:rsidR="00021480"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Key decisions taken by officers.</w:t>
            </w:r>
          </w:p>
          <w:p w14:paraId="6FA1C8A0" w14:textId="77777777" w:rsidR="00676122" w:rsidRDefault="00676122" w:rsidP="00676122">
            <w:pPr>
              <w:autoSpaceDE w:val="0"/>
              <w:autoSpaceDN w:val="0"/>
              <w:adjustRightInd w:val="0"/>
              <w:rPr>
                <w:rFonts w:ascii="Arial" w:hAnsi="Arial" w:cs="Arial"/>
                <w:sz w:val="24"/>
                <w:szCs w:val="24"/>
              </w:rPr>
            </w:pPr>
          </w:p>
          <w:p w14:paraId="445503EF" w14:textId="77777777" w:rsidR="00676122" w:rsidRDefault="00676122" w:rsidP="00676122">
            <w:pPr>
              <w:autoSpaceDE w:val="0"/>
              <w:autoSpaceDN w:val="0"/>
              <w:adjustRightInd w:val="0"/>
              <w:rPr>
                <w:rFonts w:ascii="Arial" w:hAnsi="Arial" w:cs="Arial"/>
                <w:sz w:val="24"/>
                <w:szCs w:val="24"/>
              </w:rPr>
            </w:pPr>
            <w:r>
              <w:rPr>
                <w:rFonts w:ascii="Arial" w:hAnsi="Arial" w:cs="Arial"/>
                <w:sz w:val="24"/>
                <w:szCs w:val="24"/>
              </w:rPr>
              <w:t>But this does not apply to:</w:t>
            </w:r>
          </w:p>
          <w:p w14:paraId="0C84C62A"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Information about individuals</w:t>
            </w:r>
          </w:p>
          <w:p w14:paraId="5CB2E0AB"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Information about the possible terms of a contract the Council is negotiating</w:t>
            </w:r>
          </w:p>
          <w:p w14:paraId="5561EECA"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Arial" w:hAnsi="Arial" w:cs="Arial"/>
                <w:sz w:val="24"/>
                <w:szCs w:val="24"/>
              </w:rPr>
              <w:t>Labour relations information</w:t>
            </w:r>
          </w:p>
          <w:p w14:paraId="2912A017"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Information that could be considered legally privileged</w:t>
            </w:r>
          </w:p>
          <w:p w14:paraId="4A944AA0"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Information about action to deal with a crime</w:t>
            </w:r>
          </w:p>
          <w:p w14:paraId="35FFC5C6" w14:textId="7777777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Advice given by a political assistant</w:t>
            </w:r>
          </w:p>
          <w:p w14:paraId="7F440DBC" w14:textId="5E0895B7" w:rsidR="00676122" w:rsidRDefault="00676122" w:rsidP="00676122">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Any document in draft form (except for draft documents approved by the Cabinet for consultation).</w:t>
            </w:r>
          </w:p>
          <w:p w14:paraId="713FC148" w14:textId="77777777" w:rsidR="00676122" w:rsidRDefault="00676122" w:rsidP="00676122">
            <w:pPr>
              <w:autoSpaceDE w:val="0"/>
              <w:autoSpaceDN w:val="0"/>
              <w:adjustRightInd w:val="0"/>
              <w:rPr>
                <w:rFonts w:ascii="Arial" w:hAnsi="Arial" w:cs="Arial"/>
                <w:sz w:val="24"/>
                <w:szCs w:val="24"/>
              </w:rPr>
            </w:pPr>
          </w:p>
          <w:p w14:paraId="0A6488D1" w14:textId="77777777" w:rsidR="00676122" w:rsidRDefault="00676122" w:rsidP="00676122">
            <w:pPr>
              <w:autoSpaceDE w:val="0"/>
              <w:autoSpaceDN w:val="0"/>
              <w:adjustRightInd w:val="0"/>
              <w:rPr>
                <w:rFonts w:ascii="Arial" w:hAnsi="Arial" w:cs="Arial"/>
                <w:sz w:val="24"/>
                <w:szCs w:val="24"/>
              </w:rPr>
            </w:pPr>
            <w:r>
              <w:rPr>
                <w:rFonts w:ascii="Arial" w:hAnsi="Arial" w:cs="Arial"/>
                <w:sz w:val="24"/>
                <w:szCs w:val="24"/>
              </w:rPr>
              <w:t>This right is additional to any other rights the councillor has.</w:t>
            </w:r>
          </w:p>
          <w:p w14:paraId="4DE16CA7" w14:textId="77777777" w:rsidR="00676122" w:rsidRDefault="00676122" w:rsidP="00676122">
            <w:pPr>
              <w:autoSpaceDE w:val="0"/>
              <w:autoSpaceDN w:val="0"/>
              <w:adjustRightInd w:val="0"/>
              <w:rPr>
                <w:rFonts w:ascii="Arial" w:hAnsi="Arial" w:cs="Arial"/>
                <w:sz w:val="24"/>
                <w:szCs w:val="24"/>
              </w:rPr>
            </w:pPr>
          </w:p>
          <w:p w14:paraId="16E93F0D" w14:textId="77777777" w:rsidR="00676122" w:rsidRDefault="00676122" w:rsidP="00676122">
            <w:pPr>
              <w:autoSpaceDE w:val="0"/>
              <w:autoSpaceDN w:val="0"/>
              <w:adjustRightInd w:val="0"/>
              <w:rPr>
                <w:rFonts w:ascii="Arial" w:hAnsi="Arial" w:cs="Arial"/>
                <w:sz w:val="24"/>
                <w:szCs w:val="24"/>
                <w:u w:val="single"/>
              </w:rPr>
            </w:pPr>
            <w:r>
              <w:rPr>
                <w:rFonts w:ascii="Arial" w:hAnsi="Arial" w:cs="Arial"/>
                <w:sz w:val="24"/>
                <w:szCs w:val="24"/>
                <w:u w:val="single"/>
              </w:rPr>
              <w:t>Any councillor may attend private meetings of Cabinet.</w:t>
            </w:r>
          </w:p>
          <w:p w14:paraId="64952B1C" w14:textId="4169E7AA" w:rsidR="00676122" w:rsidRPr="00676122" w:rsidRDefault="00676122" w:rsidP="00676122">
            <w:pPr>
              <w:autoSpaceDE w:val="0"/>
              <w:autoSpaceDN w:val="0"/>
              <w:adjustRightInd w:val="0"/>
              <w:rPr>
                <w:rFonts w:ascii="Arial" w:hAnsi="Arial" w:cs="Arial"/>
                <w:sz w:val="24"/>
                <w:szCs w:val="24"/>
                <w:u w:val="single"/>
              </w:rPr>
            </w:pPr>
          </w:p>
        </w:tc>
      </w:tr>
      <w:tr w:rsidR="00021480" w14:paraId="64FB554D" w14:textId="77777777" w:rsidTr="00A819BC">
        <w:tc>
          <w:tcPr>
            <w:tcW w:w="568" w:type="dxa"/>
            <w:shd w:val="clear" w:color="auto" w:fill="auto"/>
          </w:tcPr>
          <w:p w14:paraId="09BCA213" w14:textId="0722468D" w:rsidR="00021480" w:rsidRPr="007078C1" w:rsidRDefault="00E972E9" w:rsidP="003E716B">
            <w:pPr>
              <w:rPr>
                <w:rFonts w:ascii="Arial" w:hAnsi="Arial" w:cs="Arial"/>
                <w:sz w:val="24"/>
                <w:szCs w:val="24"/>
              </w:rPr>
            </w:pPr>
            <w:r>
              <w:rPr>
                <w:rFonts w:ascii="Arial" w:hAnsi="Arial" w:cs="Arial"/>
                <w:sz w:val="24"/>
                <w:szCs w:val="24"/>
              </w:rPr>
              <w:lastRenderedPageBreak/>
              <w:t>11</w:t>
            </w:r>
          </w:p>
        </w:tc>
        <w:tc>
          <w:tcPr>
            <w:tcW w:w="1985" w:type="dxa"/>
            <w:shd w:val="clear" w:color="auto" w:fill="auto"/>
          </w:tcPr>
          <w:p w14:paraId="0227BED6" w14:textId="046DF780" w:rsidR="00021480" w:rsidRDefault="00021480" w:rsidP="003E716B">
            <w:pPr>
              <w:rPr>
                <w:rFonts w:ascii="Arial" w:hAnsi="Arial" w:cs="Arial"/>
                <w:sz w:val="24"/>
                <w:szCs w:val="24"/>
              </w:rPr>
            </w:pPr>
            <w:r w:rsidRPr="00E77065">
              <w:rPr>
                <w:rFonts w:ascii="Arial" w:hAnsi="Arial" w:cs="Arial"/>
                <w:sz w:val="24"/>
                <w:szCs w:val="24"/>
              </w:rPr>
              <w:t>Part 15.14</w:t>
            </w:r>
            <w:r>
              <w:rPr>
                <w:rFonts w:ascii="Arial" w:hAnsi="Arial" w:cs="Arial"/>
                <w:sz w:val="24"/>
                <w:szCs w:val="24"/>
              </w:rPr>
              <w:t>: K</w:t>
            </w:r>
            <w:r w:rsidRPr="00E77065">
              <w:rPr>
                <w:rFonts w:ascii="Arial" w:hAnsi="Arial" w:cs="Arial"/>
                <w:sz w:val="24"/>
                <w:szCs w:val="24"/>
              </w:rPr>
              <w:t>ey decisions</w:t>
            </w:r>
          </w:p>
          <w:p w14:paraId="49D0C3BA" w14:textId="77777777" w:rsidR="00021480" w:rsidRDefault="00021480" w:rsidP="003E716B">
            <w:pPr>
              <w:rPr>
                <w:rFonts w:ascii="Arial" w:hAnsi="Arial" w:cs="Arial"/>
                <w:sz w:val="24"/>
                <w:szCs w:val="24"/>
              </w:rPr>
            </w:pPr>
          </w:p>
          <w:p w14:paraId="6969EE8F" w14:textId="21226247" w:rsidR="00021480" w:rsidRPr="006808DA" w:rsidRDefault="006808DA" w:rsidP="003E716B">
            <w:pPr>
              <w:rPr>
                <w:rFonts w:ascii="Arial" w:hAnsi="Arial" w:cs="Arial"/>
                <w:i/>
                <w:sz w:val="24"/>
                <w:szCs w:val="24"/>
              </w:rPr>
            </w:pPr>
            <w:r w:rsidRPr="006808DA">
              <w:rPr>
                <w:rFonts w:ascii="Arial" w:hAnsi="Arial" w:cs="Arial"/>
                <w:i/>
                <w:sz w:val="24"/>
                <w:szCs w:val="24"/>
              </w:rPr>
              <w:t>Links to #3</w:t>
            </w:r>
          </w:p>
        </w:tc>
        <w:tc>
          <w:tcPr>
            <w:tcW w:w="6095" w:type="dxa"/>
          </w:tcPr>
          <w:p w14:paraId="1C8243C4" w14:textId="26894D3F" w:rsidR="002375CA" w:rsidRPr="002375CA" w:rsidRDefault="006808DA" w:rsidP="002375CA">
            <w:pPr>
              <w:rPr>
                <w:rFonts w:ascii="Arial" w:hAnsi="Arial" w:cs="Arial"/>
                <w:sz w:val="24"/>
                <w:szCs w:val="24"/>
              </w:rPr>
            </w:pPr>
            <w:r w:rsidRPr="006808DA">
              <w:rPr>
                <w:rFonts w:ascii="Arial" w:hAnsi="Arial" w:cs="Arial"/>
                <w:b/>
                <w:sz w:val="24"/>
                <w:szCs w:val="24"/>
              </w:rPr>
              <w:t>Proposal:</w:t>
            </w:r>
            <w:r>
              <w:rPr>
                <w:rFonts w:ascii="Arial" w:hAnsi="Arial" w:cs="Arial"/>
                <w:sz w:val="24"/>
                <w:szCs w:val="24"/>
              </w:rPr>
              <w:t xml:space="preserve"> </w:t>
            </w:r>
            <w:r w:rsidR="002375CA" w:rsidRPr="002375CA">
              <w:rPr>
                <w:rFonts w:ascii="Arial" w:hAnsi="Arial" w:cs="Arial"/>
                <w:sz w:val="24"/>
                <w:szCs w:val="24"/>
              </w:rPr>
              <w:t xml:space="preserve">To align the key decision rules with the </w:t>
            </w:r>
            <w:r w:rsidR="00507F97">
              <w:rPr>
                <w:rFonts w:ascii="Arial" w:hAnsi="Arial" w:cs="Arial"/>
                <w:sz w:val="24"/>
                <w:szCs w:val="24"/>
              </w:rPr>
              <w:t xml:space="preserve">financial </w:t>
            </w:r>
            <w:r w:rsidR="002375CA" w:rsidRPr="002375CA">
              <w:rPr>
                <w:rFonts w:ascii="Arial" w:hAnsi="Arial" w:cs="Arial"/>
                <w:sz w:val="24"/>
                <w:szCs w:val="24"/>
              </w:rPr>
              <w:t>thresholds for matters reserved to Cabinet:</w:t>
            </w:r>
          </w:p>
          <w:p w14:paraId="4C6E863A" w14:textId="77777777" w:rsidR="002375CA" w:rsidRPr="002375CA" w:rsidRDefault="002375CA" w:rsidP="002375CA">
            <w:pPr>
              <w:rPr>
                <w:rFonts w:ascii="Arial" w:hAnsi="Arial" w:cs="Arial"/>
                <w:sz w:val="24"/>
                <w:szCs w:val="24"/>
              </w:rPr>
            </w:pPr>
          </w:p>
          <w:p w14:paraId="28C850C8" w14:textId="280BCA23" w:rsidR="002375CA" w:rsidRPr="002375CA" w:rsidRDefault="006808DA" w:rsidP="002375CA">
            <w:pPr>
              <w:rPr>
                <w:rFonts w:ascii="Arial" w:hAnsi="Arial" w:cs="Arial"/>
                <w:sz w:val="24"/>
                <w:szCs w:val="24"/>
              </w:rPr>
            </w:pPr>
            <w:r w:rsidRPr="006808DA">
              <w:rPr>
                <w:rFonts w:ascii="Arial" w:hAnsi="Arial" w:cs="Arial"/>
                <w:b/>
                <w:sz w:val="24"/>
                <w:szCs w:val="24"/>
              </w:rPr>
              <w:t xml:space="preserve">Rationale: </w:t>
            </w:r>
            <w:r w:rsidR="002375CA" w:rsidRPr="002375CA">
              <w:rPr>
                <w:rFonts w:ascii="Arial" w:hAnsi="Arial" w:cs="Arial"/>
                <w:sz w:val="24"/>
                <w:szCs w:val="24"/>
              </w:rPr>
              <w:t>To simplify the governance around decision making by ensuring that all key decisions are automatically matters reserved to Cabinet in the first instance</w:t>
            </w:r>
            <w:r>
              <w:rPr>
                <w:rFonts w:ascii="Arial" w:hAnsi="Arial" w:cs="Arial"/>
                <w:sz w:val="24"/>
                <w:szCs w:val="24"/>
              </w:rPr>
              <w:t xml:space="preserve"> (key decisions may then be delegated by Cabinet)</w:t>
            </w:r>
            <w:r w:rsidR="002375CA" w:rsidRPr="002375CA">
              <w:rPr>
                <w:rFonts w:ascii="Arial" w:hAnsi="Arial" w:cs="Arial"/>
                <w:sz w:val="24"/>
                <w:szCs w:val="24"/>
              </w:rPr>
              <w:t xml:space="preserve">. Currently key decisions on contract awards &gt;£500k </w:t>
            </w:r>
            <w:r>
              <w:rPr>
                <w:rFonts w:ascii="Arial" w:hAnsi="Arial" w:cs="Arial"/>
                <w:sz w:val="24"/>
                <w:szCs w:val="24"/>
              </w:rPr>
              <w:t xml:space="preserve">&lt;£1m are delegated to officers </w:t>
            </w:r>
            <w:r w:rsidR="002375CA" w:rsidRPr="002375CA">
              <w:rPr>
                <w:rFonts w:ascii="Arial" w:hAnsi="Arial" w:cs="Arial"/>
                <w:sz w:val="24"/>
                <w:szCs w:val="24"/>
              </w:rPr>
              <w:t>although some may require proje</w:t>
            </w:r>
            <w:r>
              <w:rPr>
                <w:rFonts w:ascii="Arial" w:hAnsi="Arial" w:cs="Arial"/>
                <w:sz w:val="24"/>
                <w:szCs w:val="24"/>
              </w:rPr>
              <w:t>ct approval from Cabinet &gt;£500k</w:t>
            </w:r>
            <w:r w:rsidR="002375CA" w:rsidRPr="002375CA">
              <w:rPr>
                <w:rFonts w:ascii="Arial" w:hAnsi="Arial" w:cs="Arial"/>
                <w:sz w:val="24"/>
                <w:szCs w:val="24"/>
              </w:rPr>
              <w:t>.</w:t>
            </w:r>
          </w:p>
          <w:p w14:paraId="1FF1D744" w14:textId="2D1E1F57" w:rsidR="002375CA" w:rsidRDefault="002375CA" w:rsidP="002375CA">
            <w:pPr>
              <w:rPr>
                <w:rFonts w:ascii="Arial" w:hAnsi="Arial" w:cs="Arial"/>
                <w:sz w:val="24"/>
                <w:szCs w:val="24"/>
              </w:rPr>
            </w:pPr>
          </w:p>
        </w:tc>
        <w:tc>
          <w:tcPr>
            <w:tcW w:w="6237" w:type="dxa"/>
          </w:tcPr>
          <w:p w14:paraId="5939F393" w14:textId="77777777" w:rsidR="00021480" w:rsidRDefault="00021480" w:rsidP="007E407C">
            <w:pPr>
              <w:autoSpaceDE w:val="0"/>
              <w:autoSpaceDN w:val="0"/>
              <w:adjustRightInd w:val="0"/>
              <w:rPr>
                <w:rFonts w:ascii="Arial" w:hAnsi="Arial" w:cs="Arial"/>
                <w:sz w:val="24"/>
                <w:szCs w:val="24"/>
              </w:rPr>
            </w:pPr>
            <w:r>
              <w:rPr>
                <w:rFonts w:ascii="Arial" w:hAnsi="Arial" w:cs="Arial"/>
                <w:sz w:val="24"/>
                <w:szCs w:val="24"/>
              </w:rPr>
              <w:t>A key decision is an executive decision likely to:</w:t>
            </w:r>
          </w:p>
          <w:p w14:paraId="1F4235BB" w14:textId="77777777" w:rsidR="00021480" w:rsidRDefault="00021480" w:rsidP="007E407C">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Have a significant effect on people living or working in a least two wards or</w:t>
            </w:r>
          </w:p>
          <w:p w14:paraId="4A140CEB" w14:textId="77777777" w:rsidR="00021480" w:rsidRDefault="00021480" w:rsidP="007E407C">
            <w:pPr>
              <w:autoSpaceDE w:val="0"/>
              <w:autoSpaceDN w:val="0"/>
              <w:adjustRightInd w:val="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Involve spending or saving a significant amount – whether an amount is significant depends on the Council’s total budget for the service involved.</w:t>
            </w:r>
          </w:p>
          <w:p w14:paraId="6280892F" w14:textId="77777777" w:rsidR="00021480" w:rsidRDefault="00021480" w:rsidP="007E407C">
            <w:pPr>
              <w:autoSpaceDE w:val="0"/>
              <w:autoSpaceDN w:val="0"/>
              <w:adjustRightInd w:val="0"/>
              <w:rPr>
                <w:rFonts w:ascii="Arial" w:hAnsi="Arial" w:cs="Arial"/>
                <w:sz w:val="24"/>
                <w:szCs w:val="24"/>
              </w:rPr>
            </w:pPr>
            <w:r>
              <w:rPr>
                <w:rFonts w:ascii="Arial" w:hAnsi="Arial" w:cs="Arial"/>
                <w:sz w:val="24"/>
                <w:szCs w:val="24"/>
              </w:rPr>
              <w:t>For this Council ‘significant’ in budgetary terms is</w:t>
            </w:r>
            <w:r w:rsidRPr="003F0105">
              <w:rPr>
                <w:rFonts w:ascii="Arial" w:hAnsi="Arial" w:cs="Arial"/>
                <w:sz w:val="24"/>
                <w:szCs w:val="24"/>
                <w:u w:val="single"/>
              </w:rPr>
              <w:t>:</w:t>
            </w:r>
            <w:r>
              <w:rPr>
                <w:rFonts w:ascii="Arial" w:hAnsi="Arial" w:cs="Arial"/>
                <w:sz w:val="24"/>
                <w:szCs w:val="24"/>
              </w:rPr>
              <w:t xml:space="preserve"> </w:t>
            </w:r>
          </w:p>
          <w:p w14:paraId="59019FCA" w14:textId="77777777" w:rsidR="00021480" w:rsidRDefault="00021480" w:rsidP="007E407C">
            <w:pPr>
              <w:autoSpaceDE w:val="0"/>
              <w:autoSpaceDN w:val="0"/>
              <w:adjustRightInd w:val="0"/>
              <w:rPr>
                <w:rFonts w:ascii="Arial" w:hAnsi="Arial" w:cs="Arial"/>
                <w:sz w:val="24"/>
                <w:szCs w:val="24"/>
              </w:rPr>
            </w:pPr>
          </w:p>
          <w:p w14:paraId="42E53C37" w14:textId="60DFC7D8" w:rsidR="00021480" w:rsidRPr="003F0105" w:rsidRDefault="00021480" w:rsidP="003F0105">
            <w:pPr>
              <w:pStyle w:val="ListParagraph"/>
              <w:numPr>
                <w:ilvl w:val="0"/>
                <w:numId w:val="17"/>
              </w:numPr>
              <w:autoSpaceDE w:val="0"/>
              <w:autoSpaceDN w:val="0"/>
              <w:adjustRightInd w:val="0"/>
              <w:rPr>
                <w:rFonts w:ascii="Arial" w:hAnsi="Arial" w:cs="Arial"/>
                <w:sz w:val="24"/>
                <w:szCs w:val="24"/>
              </w:rPr>
            </w:pPr>
            <w:r w:rsidRPr="003F0105">
              <w:rPr>
                <w:rFonts w:ascii="Arial" w:hAnsi="Arial" w:cs="Arial"/>
                <w:sz w:val="24"/>
                <w:szCs w:val="24"/>
                <w:u w:val="single"/>
              </w:rPr>
              <w:t>Expenditure or savings of</w:t>
            </w:r>
            <w:r>
              <w:rPr>
                <w:rFonts w:ascii="Arial" w:hAnsi="Arial" w:cs="Arial"/>
                <w:sz w:val="24"/>
                <w:szCs w:val="24"/>
              </w:rPr>
              <w:t xml:space="preserve"> </w:t>
            </w:r>
            <w:r w:rsidRPr="003F0105">
              <w:rPr>
                <w:rFonts w:ascii="Arial" w:hAnsi="Arial" w:cs="Arial"/>
                <w:sz w:val="24"/>
                <w:szCs w:val="24"/>
              </w:rPr>
              <w:t xml:space="preserve">£500,000 or greater </w:t>
            </w:r>
            <w:r w:rsidRPr="003F0105">
              <w:rPr>
                <w:rFonts w:ascii="Arial" w:hAnsi="Arial" w:cs="Arial"/>
                <w:sz w:val="24"/>
                <w:szCs w:val="24"/>
                <w:u w:val="single"/>
              </w:rPr>
              <w:t>in the context of the medium term financial strategy,</w:t>
            </w:r>
            <w:r w:rsidRPr="003F0105">
              <w:rPr>
                <w:rFonts w:ascii="Arial" w:hAnsi="Arial" w:cs="Arial"/>
                <w:i/>
                <w:sz w:val="24"/>
                <w:szCs w:val="24"/>
              </w:rPr>
              <w:t xml:space="preserve"> </w:t>
            </w:r>
          </w:p>
          <w:p w14:paraId="03C3CF16" w14:textId="775EF9F8" w:rsidR="00021480" w:rsidRPr="003F0105" w:rsidRDefault="00021480" w:rsidP="003F0105">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u w:val="single"/>
              </w:rPr>
              <w:t>C</w:t>
            </w:r>
            <w:r w:rsidRPr="003F0105">
              <w:rPr>
                <w:rFonts w:ascii="Arial" w:hAnsi="Arial" w:cs="Arial"/>
                <w:sz w:val="24"/>
                <w:szCs w:val="24"/>
                <w:u w:val="single"/>
              </w:rPr>
              <w:t>ontract awards with a value of £1,000,000 or greater</w:t>
            </w:r>
          </w:p>
          <w:p w14:paraId="14968682" w14:textId="06E94A14" w:rsidR="00021480" w:rsidRPr="003F0105" w:rsidRDefault="00021480" w:rsidP="003F0105">
            <w:pPr>
              <w:pStyle w:val="ListParagraph"/>
              <w:numPr>
                <w:ilvl w:val="0"/>
                <w:numId w:val="17"/>
              </w:numPr>
              <w:autoSpaceDE w:val="0"/>
              <w:autoSpaceDN w:val="0"/>
              <w:adjustRightInd w:val="0"/>
              <w:rPr>
                <w:rFonts w:ascii="Arial" w:hAnsi="Arial" w:cs="Arial"/>
                <w:sz w:val="24"/>
                <w:szCs w:val="24"/>
                <w:u w:val="single"/>
              </w:rPr>
            </w:pPr>
            <w:r w:rsidRPr="003F0105">
              <w:rPr>
                <w:rFonts w:ascii="Arial" w:hAnsi="Arial" w:cs="Arial"/>
                <w:sz w:val="24"/>
                <w:szCs w:val="24"/>
                <w:u w:val="single"/>
              </w:rPr>
              <w:t>acquiring or disposing of freeholds or leaseholds with a consideration or</w:t>
            </w:r>
            <w:r>
              <w:rPr>
                <w:rFonts w:ascii="Arial" w:hAnsi="Arial" w:cs="Arial"/>
                <w:sz w:val="24"/>
                <w:szCs w:val="24"/>
                <w:u w:val="single"/>
              </w:rPr>
              <w:t xml:space="preserve"> </w:t>
            </w:r>
            <w:r w:rsidRPr="003F0105">
              <w:rPr>
                <w:rFonts w:ascii="Arial" w:hAnsi="Arial" w:cs="Arial"/>
                <w:sz w:val="24"/>
                <w:szCs w:val="24"/>
                <w:u w:val="single"/>
              </w:rPr>
              <w:t xml:space="preserve">premium over £500,000 </w:t>
            </w:r>
            <w:r w:rsidR="00350778">
              <w:rPr>
                <w:rFonts w:ascii="Arial" w:hAnsi="Arial" w:cs="Arial"/>
                <w:sz w:val="24"/>
                <w:szCs w:val="24"/>
                <w:u w:val="single"/>
              </w:rPr>
              <w:t xml:space="preserve">in the context of the medium term financial strategy </w:t>
            </w:r>
            <w:r w:rsidRPr="003F0105">
              <w:rPr>
                <w:rFonts w:ascii="Arial" w:hAnsi="Arial" w:cs="Arial"/>
                <w:sz w:val="24"/>
                <w:szCs w:val="24"/>
                <w:u w:val="single"/>
              </w:rPr>
              <w:t>except for disposals pursuant to right to buy legislation</w:t>
            </w:r>
          </w:p>
          <w:p w14:paraId="3559AEDE" w14:textId="77777777" w:rsidR="00021480" w:rsidRDefault="00021480" w:rsidP="007E407C">
            <w:pPr>
              <w:pStyle w:val="ListParagraph"/>
              <w:numPr>
                <w:ilvl w:val="0"/>
                <w:numId w:val="17"/>
              </w:numPr>
              <w:autoSpaceDE w:val="0"/>
              <w:autoSpaceDN w:val="0"/>
              <w:adjustRightInd w:val="0"/>
              <w:rPr>
                <w:rFonts w:ascii="Arial" w:hAnsi="Arial" w:cs="Arial"/>
                <w:sz w:val="24"/>
                <w:szCs w:val="24"/>
                <w:u w:val="single"/>
              </w:rPr>
            </w:pPr>
            <w:r>
              <w:rPr>
                <w:rFonts w:ascii="Arial" w:hAnsi="Arial" w:cs="Arial"/>
                <w:sz w:val="24"/>
                <w:szCs w:val="24"/>
                <w:u w:val="single"/>
              </w:rPr>
              <w:t>A</w:t>
            </w:r>
            <w:r w:rsidRPr="003F0105">
              <w:rPr>
                <w:rFonts w:ascii="Arial" w:hAnsi="Arial" w:cs="Arial"/>
                <w:sz w:val="24"/>
                <w:szCs w:val="24"/>
                <w:u w:val="single"/>
              </w:rPr>
              <w:t>cquiring or disposing of leases with a rental value over £125,000 each year except statutory lease renewals under Part II of the Landlord &amp; Tenant Act 1954.</w:t>
            </w:r>
          </w:p>
          <w:p w14:paraId="1BDC1416" w14:textId="3E49C65F" w:rsidR="00AA49D7" w:rsidRPr="00AA49D7" w:rsidRDefault="00AA49D7" w:rsidP="00AA49D7">
            <w:pPr>
              <w:autoSpaceDE w:val="0"/>
              <w:autoSpaceDN w:val="0"/>
              <w:adjustRightInd w:val="0"/>
              <w:ind w:left="360"/>
              <w:rPr>
                <w:rFonts w:ascii="Arial" w:hAnsi="Arial" w:cs="Arial"/>
                <w:sz w:val="24"/>
                <w:szCs w:val="24"/>
                <w:u w:val="single"/>
              </w:rPr>
            </w:pPr>
          </w:p>
        </w:tc>
      </w:tr>
      <w:tr w:rsidR="00021480" w14:paraId="27EA6054" w14:textId="77777777" w:rsidTr="00A819BC">
        <w:trPr>
          <w:trHeight w:val="1125"/>
        </w:trPr>
        <w:tc>
          <w:tcPr>
            <w:tcW w:w="568" w:type="dxa"/>
            <w:shd w:val="clear" w:color="auto" w:fill="auto"/>
          </w:tcPr>
          <w:p w14:paraId="457241E4" w14:textId="303BCEB5" w:rsidR="00021480" w:rsidRPr="007078C1" w:rsidRDefault="00E972E9" w:rsidP="00D83D37">
            <w:pPr>
              <w:rPr>
                <w:rFonts w:ascii="Arial" w:hAnsi="Arial" w:cs="Arial"/>
                <w:sz w:val="24"/>
                <w:szCs w:val="24"/>
              </w:rPr>
            </w:pPr>
            <w:r>
              <w:rPr>
                <w:rFonts w:ascii="Arial" w:hAnsi="Arial" w:cs="Arial"/>
                <w:sz w:val="24"/>
                <w:szCs w:val="24"/>
              </w:rPr>
              <w:lastRenderedPageBreak/>
              <w:t>12</w:t>
            </w:r>
          </w:p>
        </w:tc>
        <w:tc>
          <w:tcPr>
            <w:tcW w:w="1985" w:type="dxa"/>
            <w:shd w:val="clear" w:color="auto" w:fill="auto"/>
          </w:tcPr>
          <w:p w14:paraId="2BFF1375" w14:textId="5BD2EA45" w:rsidR="00021480" w:rsidRPr="002375CA" w:rsidRDefault="00021480" w:rsidP="00900AEF">
            <w:pPr>
              <w:rPr>
                <w:rFonts w:ascii="Arial" w:hAnsi="Arial" w:cs="Arial"/>
                <w:sz w:val="24"/>
                <w:szCs w:val="24"/>
              </w:rPr>
            </w:pPr>
            <w:r w:rsidRPr="00507F97">
              <w:rPr>
                <w:rFonts w:ascii="Arial" w:hAnsi="Arial" w:cs="Arial"/>
                <w:sz w:val="24"/>
                <w:szCs w:val="24"/>
              </w:rPr>
              <w:t>Part 19: Contract rules</w:t>
            </w:r>
          </w:p>
          <w:p w14:paraId="739A47FE" w14:textId="77777777" w:rsidR="00021480" w:rsidRPr="002375CA" w:rsidRDefault="00021480" w:rsidP="00900AEF">
            <w:pPr>
              <w:rPr>
                <w:rFonts w:ascii="Arial" w:hAnsi="Arial" w:cs="Arial"/>
                <w:sz w:val="24"/>
                <w:szCs w:val="24"/>
              </w:rPr>
            </w:pPr>
          </w:p>
          <w:p w14:paraId="0D051A63" w14:textId="17D1FDD7" w:rsidR="00021480" w:rsidRDefault="00021480" w:rsidP="00AB56CB">
            <w:pPr>
              <w:rPr>
                <w:rFonts w:ascii="Arial" w:hAnsi="Arial" w:cs="Arial"/>
                <w:sz w:val="24"/>
                <w:szCs w:val="24"/>
              </w:rPr>
            </w:pPr>
          </w:p>
          <w:p w14:paraId="6E03EB95" w14:textId="2771A219" w:rsidR="00021480" w:rsidRDefault="00021480" w:rsidP="00AB56CB">
            <w:pPr>
              <w:rPr>
                <w:rFonts w:ascii="Arial" w:hAnsi="Arial" w:cs="Arial"/>
                <w:sz w:val="24"/>
                <w:szCs w:val="24"/>
              </w:rPr>
            </w:pPr>
          </w:p>
          <w:p w14:paraId="4D64735F" w14:textId="77777777" w:rsidR="00021480" w:rsidRPr="00AB56CB" w:rsidRDefault="00021480" w:rsidP="00AB56CB">
            <w:pPr>
              <w:jc w:val="center"/>
              <w:rPr>
                <w:rFonts w:ascii="Arial" w:hAnsi="Arial" w:cs="Arial"/>
                <w:sz w:val="24"/>
                <w:szCs w:val="24"/>
              </w:rPr>
            </w:pPr>
          </w:p>
        </w:tc>
        <w:tc>
          <w:tcPr>
            <w:tcW w:w="6095" w:type="dxa"/>
          </w:tcPr>
          <w:p w14:paraId="04F9762B" w14:textId="150B2E1B" w:rsidR="00507F97" w:rsidRPr="00507F97" w:rsidRDefault="006808DA" w:rsidP="00507F97">
            <w:pPr>
              <w:rPr>
                <w:rFonts w:ascii="Arial" w:hAnsi="Arial" w:cs="Arial"/>
                <w:sz w:val="24"/>
              </w:rPr>
            </w:pPr>
            <w:r w:rsidRPr="006808DA">
              <w:rPr>
                <w:rFonts w:ascii="Arial" w:hAnsi="Arial" w:cs="Arial"/>
                <w:b/>
                <w:sz w:val="24"/>
              </w:rPr>
              <w:t>Proposal:</w:t>
            </w:r>
            <w:r>
              <w:rPr>
                <w:rFonts w:ascii="Arial" w:hAnsi="Arial" w:cs="Arial"/>
                <w:sz w:val="24"/>
              </w:rPr>
              <w:t xml:space="preserve"> </w:t>
            </w:r>
            <w:r w:rsidR="00507F97" w:rsidRPr="00507F97">
              <w:rPr>
                <w:rFonts w:ascii="Arial" w:hAnsi="Arial" w:cs="Arial"/>
                <w:sz w:val="24"/>
              </w:rPr>
              <w:t>To make the following amendments to contract rules:</w:t>
            </w:r>
          </w:p>
          <w:p w14:paraId="71370425"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To include a threshold for works contracts (£4,733,252).</w:t>
            </w:r>
          </w:p>
          <w:p w14:paraId="66A6E5F1"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To reflect changes to thresholds due to Brexit.</w:t>
            </w:r>
          </w:p>
          <w:p w14:paraId="2BD03AF9"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To raise the social value from 5% to 10% (for contracts over £25k).</w:t>
            </w:r>
          </w:p>
          <w:p w14:paraId="6E7335ED"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Use of Frameworks to include options for Direct Award (i.e. justification)</w:t>
            </w:r>
          </w:p>
          <w:p w14:paraId="54E8AC46"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Provisions around grant funding (short deadlines / pre-condition that we must use a certain supplier)</w:t>
            </w:r>
          </w:p>
          <w:p w14:paraId="7D25D7E9" w14:textId="77777777" w:rsidR="00507F97" w:rsidRPr="00507F97" w:rsidRDefault="00507F97" w:rsidP="00507F97">
            <w:pPr>
              <w:numPr>
                <w:ilvl w:val="0"/>
                <w:numId w:val="6"/>
              </w:numPr>
              <w:ind w:left="360"/>
              <w:rPr>
                <w:rFonts w:ascii="Arial" w:hAnsi="Arial" w:cs="Arial"/>
                <w:sz w:val="24"/>
              </w:rPr>
            </w:pPr>
            <w:r w:rsidRPr="00507F97">
              <w:rPr>
                <w:rFonts w:ascii="Arial" w:hAnsi="Arial" w:cs="Arial"/>
                <w:sz w:val="24"/>
              </w:rPr>
              <w:t>Provisions for consortiums (with the universities / other Councils / Thames water etc.) where the Council is paying towards a service, but doesn’t control where the money is spent.</w:t>
            </w:r>
          </w:p>
          <w:p w14:paraId="496A9143" w14:textId="77777777" w:rsidR="00021480" w:rsidRDefault="00021480" w:rsidP="00A337CC">
            <w:pPr>
              <w:rPr>
                <w:rFonts w:ascii="Arial" w:hAnsi="Arial" w:cs="Arial"/>
                <w:sz w:val="24"/>
                <w:szCs w:val="24"/>
              </w:rPr>
            </w:pPr>
          </w:p>
          <w:p w14:paraId="767A7946" w14:textId="7940658B" w:rsidR="00507F97" w:rsidRDefault="006808DA" w:rsidP="00507F97">
            <w:pPr>
              <w:rPr>
                <w:rFonts w:ascii="Arial" w:hAnsi="Arial" w:cs="Arial"/>
                <w:sz w:val="24"/>
                <w:szCs w:val="24"/>
              </w:rPr>
            </w:pPr>
            <w:r w:rsidRPr="006808DA">
              <w:rPr>
                <w:rFonts w:ascii="Arial" w:hAnsi="Arial" w:cs="Arial"/>
                <w:b/>
                <w:sz w:val="24"/>
                <w:szCs w:val="24"/>
              </w:rPr>
              <w:t>Rationale:</w:t>
            </w:r>
            <w:r>
              <w:rPr>
                <w:rFonts w:ascii="Arial" w:hAnsi="Arial" w:cs="Arial"/>
                <w:sz w:val="24"/>
                <w:szCs w:val="24"/>
              </w:rPr>
              <w:t xml:space="preserve"> </w:t>
            </w:r>
            <w:r w:rsidR="00507F97" w:rsidRPr="00507F97">
              <w:rPr>
                <w:rFonts w:ascii="Arial" w:hAnsi="Arial" w:cs="Arial"/>
                <w:sz w:val="24"/>
                <w:szCs w:val="24"/>
              </w:rPr>
              <w:t>To update the contract rules as recomme</w:t>
            </w:r>
            <w:r w:rsidR="00507F97">
              <w:rPr>
                <w:rFonts w:ascii="Arial" w:hAnsi="Arial" w:cs="Arial"/>
                <w:sz w:val="24"/>
                <w:szCs w:val="24"/>
              </w:rPr>
              <w:t xml:space="preserve">nded by the Procurement Manager to reflect national changes to thresholds and strengthen the contract rules, including increasing the social value weighting. </w:t>
            </w:r>
          </w:p>
        </w:tc>
        <w:tc>
          <w:tcPr>
            <w:tcW w:w="6237" w:type="dxa"/>
            <w:shd w:val="clear" w:color="auto" w:fill="auto"/>
          </w:tcPr>
          <w:p w14:paraId="22F59AE2" w14:textId="3BF2EE62" w:rsidR="00021480" w:rsidRPr="005F0B51" w:rsidRDefault="00021480" w:rsidP="005F0B51">
            <w:pPr>
              <w:rPr>
                <w:rFonts w:ascii="Arial" w:hAnsi="Arial" w:cs="Arial"/>
                <w:sz w:val="24"/>
                <w:szCs w:val="24"/>
              </w:rPr>
            </w:pPr>
            <w:r w:rsidRPr="005F0B51">
              <w:rPr>
                <w:rFonts w:ascii="Arial" w:hAnsi="Arial" w:cs="Arial"/>
                <w:sz w:val="24"/>
                <w:szCs w:val="24"/>
              </w:rPr>
              <w:t>19.6 Total contract value</w:t>
            </w:r>
          </w:p>
          <w:p w14:paraId="12129FCF" w14:textId="77777777" w:rsidR="00021480" w:rsidRPr="005F0B51" w:rsidRDefault="00021480" w:rsidP="005F0B51">
            <w:pPr>
              <w:rPr>
                <w:rFonts w:ascii="Arial" w:hAnsi="Arial" w:cs="Arial"/>
                <w:sz w:val="24"/>
                <w:szCs w:val="24"/>
              </w:rPr>
            </w:pPr>
          </w:p>
          <w:p w14:paraId="365F8AAF" w14:textId="7500356F" w:rsidR="002B04FE" w:rsidRPr="005F0B51" w:rsidRDefault="00021480" w:rsidP="005F0B51">
            <w:pPr>
              <w:rPr>
                <w:rFonts w:ascii="Arial" w:hAnsi="Arial" w:cs="Arial"/>
                <w:sz w:val="24"/>
                <w:szCs w:val="24"/>
              </w:rPr>
            </w:pPr>
            <w:r w:rsidRPr="005F0B51">
              <w:rPr>
                <w:rFonts w:ascii="Arial" w:hAnsi="Arial" w:cs="Arial"/>
                <w:sz w:val="24"/>
                <w:szCs w:val="24"/>
              </w:rPr>
              <w:t>The total contract value is the total amount (</w:t>
            </w:r>
            <w:r w:rsidRPr="005F0B51">
              <w:rPr>
                <w:rFonts w:ascii="Arial" w:hAnsi="Arial" w:cs="Arial"/>
                <w:strike/>
                <w:sz w:val="24"/>
                <w:szCs w:val="24"/>
              </w:rPr>
              <w:t>minus</w:t>
            </w:r>
            <w:r w:rsidRPr="005F0B51">
              <w:rPr>
                <w:rFonts w:ascii="Arial" w:hAnsi="Arial" w:cs="Arial"/>
                <w:sz w:val="24"/>
                <w:szCs w:val="24"/>
              </w:rPr>
              <w:t xml:space="preserve"> </w:t>
            </w:r>
            <w:r w:rsidRPr="005F0B51">
              <w:rPr>
                <w:rFonts w:ascii="Arial" w:hAnsi="Arial" w:cs="Arial"/>
                <w:sz w:val="24"/>
                <w:szCs w:val="24"/>
                <w:u w:val="single"/>
              </w:rPr>
              <w:t>including</w:t>
            </w:r>
            <w:r w:rsidRPr="005F0B51">
              <w:rPr>
                <w:rFonts w:ascii="Arial" w:hAnsi="Arial" w:cs="Arial"/>
                <w:sz w:val="24"/>
                <w:szCs w:val="24"/>
              </w:rPr>
              <w:t xml:space="preserve"> VAT) that is expected to be paid to the supplier as a result of the contract award during the whole of the contract. </w:t>
            </w:r>
          </w:p>
          <w:p w14:paraId="07B685ED" w14:textId="312D6A9B" w:rsidR="00021480" w:rsidRDefault="002B04FE" w:rsidP="005F0B51">
            <w:pPr>
              <w:rPr>
                <w:rFonts w:ascii="Arial" w:hAnsi="Arial" w:cs="Arial"/>
                <w:sz w:val="24"/>
                <w:szCs w:val="24"/>
              </w:rPr>
            </w:pPr>
            <w:r>
              <w:rPr>
                <w:rFonts w:ascii="Arial" w:hAnsi="Arial" w:cs="Arial"/>
                <w:sz w:val="24"/>
                <w:szCs w:val="24"/>
              </w:rPr>
              <w:t>….</w:t>
            </w:r>
          </w:p>
          <w:p w14:paraId="0A583544" w14:textId="77777777" w:rsidR="002B04FE" w:rsidRPr="005F0B51" w:rsidRDefault="002B04FE" w:rsidP="005F0B51">
            <w:pPr>
              <w:rPr>
                <w:rFonts w:ascii="Arial" w:hAnsi="Arial" w:cs="Arial"/>
                <w:sz w:val="24"/>
                <w:szCs w:val="24"/>
              </w:rPr>
            </w:pPr>
          </w:p>
          <w:p w14:paraId="73579F51" w14:textId="5511D681" w:rsidR="00021480" w:rsidRPr="005F0B51" w:rsidRDefault="00021480" w:rsidP="005F0B51">
            <w:pPr>
              <w:rPr>
                <w:rFonts w:ascii="Arial" w:hAnsi="Arial" w:cs="Arial"/>
                <w:sz w:val="24"/>
                <w:szCs w:val="24"/>
              </w:rPr>
            </w:pPr>
            <w:r w:rsidRPr="005F0B51">
              <w:rPr>
                <w:rFonts w:ascii="Arial" w:hAnsi="Arial" w:cs="Arial"/>
                <w:sz w:val="24"/>
                <w:szCs w:val="24"/>
              </w:rPr>
              <w:t>19.9</w:t>
            </w:r>
            <w:r w:rsidRPr="005F0B51">
              <w:rPr>
                <w:rFonts w:ascii="Arial" w:hAnsi="Arial" w:cs="Arial"/>
                <w:sz w:val="24"/>
                <w:szCs w:val="24"/>
              </w:rPr>
              <w:tab/>
              <w:t>Clauses that must be included in all contracts</w:t>
            </w:r>
          </w:p>
          <w:p w14:paraId="157DA325" w14:textId="5152158E" w:rsidR="00021480" w:rsidRPr="005F0B51" w:rsidRDefault="00021480" w:rsidP="005F0B51">
            <w:pPr>
              <w:rPr>
                <w:rFonts w:ascii="Arial" w:hAnsi="Arial" w:cs="Arial"/>
                <w:sz w:val="24"/>
                <w:szCs w:val="24"/>
              </w:rPr>
            </w:pPr>
            <w:r w:rsidRPr="005F0B51">
              <w:rPr>
                <w:rFonts w:ascii="Arial" w:hAnsi="Arial" w:cs="Arial"/>
                <w:sz w:val="24"/>
                <w:szCs w:val="24"/>
              </w:rPr>
              <w:t>….</w:t>
            </w:r>
          </w:p>
          <w:p w14:paraId="17800200" w14:textId="0A9DF322" w:rsidR="00021480" w:rsidRPr="005F0B51" w:rsidRDefault="00021480" w:rsidP="005F0B51">
            <w:pPr>
              <w:pStyle w:val="ListParagraph"/>
              <w:numPr>
                <w:ilvl w:val="0"/>
                <w:numId w:val="15"/>
              </w:numPr>
              <w:rPr>
                <w:rFonts w:ascii="Arial" w:hAnsi="Arial" w:cs="Arial"/>
                <w:sz w:val="24"/>
                <w:szCs w:val="24"/>
              </w:rPr>
            </w:pPr>
            <w:proofErr w:type="gramStart"/>
            <w:r w:rsidRPr="005F0B51">
              <w:rPr>
                <w:rFonts w:ascii="Arial" w:hAnsi="Arial" w:cs="Arial"/>
                <w:strike/>
                <w:sz w:val="24"/>
                <w:szCs w:val="24"/>
              </w:rPr>
              <w:t>all</w:t>
            </w:r>
            <w:proofErr w:type="gramEnd"/>
            <w:r w:rsidRPr="005F0B51">
              <w:rPr>
                <w:rFonts w:ascii="Arial" w:hAnsi="Arial" w:cs="Arial"/>
                <w:strike/>
                <w:sz w:val="24"/>
                <w:szCs w:val="24"/>
              </w:rPr>
              <w:t xml:space="preserve"> procurement contracts</w:t>
            </w:r>
            <w:r w:rsidRPr="005F0B51">
              <w:rPr>
                <w:rFonts w:ascii="Arial" w:hAnsi="Arial" w:cs="Arial"/>
                <w:sz w:val="24"/>
                <w:szCs w:val="24"/>
              </w:rPr>
              <w:t xml:space="preserve">, </w:t>
            </w:r>
            <w:r w:rsidRPr="005F0B51">
              <w:rPr>
                <w:rFonts w:ascii="Arial" w:hAnsi="Arial" w:cs="Arial"/>
                <w:strike/>
                <w:sz w:val="24"/>
                <w:szCs w:val="24"/>
              </w:rPr>
              <w:t>which are below FTS contract thresholds</w:t>
            </w:r>
            <w:r w:rsidRPr="005F0B51">
              <w:rPr>
                <w:rFonts w:ascii="Arial" w:hAnsi="Arial" w:cs="Arial"/>
                <w:sz w:val="24"/>
                <w:szCs w:val="24"/>
              </w:rPr>
              <w:t xml:space="preserve">, All contracts of £25k and over must include a minimum </w:t>
            </w:r>
            <w:r w:rsidRPr="005F0B51">
              <w:rPr>
                <w:rFonts w:ascii="Arial" w:hAnsi="Arial" w:cs="Arial"/>
                <w:strike/>
                <w:sz w:val="24"/>
                <w:szCs w:val="24"/>
              </w:rPr>
              <w:t xml:space="preserve">5% </w:t>
            </w:r>
            <w:r w:rsidRPr="005F0B51">
              <w:rPr>
                <w:rFonts w:ascii="Arial" w:hAnsi="Arial" w:cs="Arial"/>
                <w:sz w:val="24"/>
                <w:szCs w:val="24"/>
              </w:rPr>
              <w:t>10% social value weighting where proportionate and relevant. If not considered the reason must be documented.</w:t>
            </w:r>
          </w:p>
          <w:p w14:paraId="594B548E" w14:textId="372AF47B" w:rsidR="00021480" w:rsidRPr="005F0B51" w:rsidRDefault="002B04FE" w:rsidP="004B12B2">
            <w:pPr>
              <w:rPr>
                <w:rFonts w:ascii="Arial" w:hAnsi="Arial" w:cs="Arial"/>
                <w:sz w:val="24"/>
                <w:szCs w:val="24"/>
              </w:rPr>
            </w:pPr>
            <w:r>
              <w:rPr>
                <w:rFonts w:ascii="Arial" w:hAnsi="Arial" w:cs="Arial"/>
                <w:sz w:val="24"/>
                <w:szCs w:val="24"/>
              </w:rPr>
              <w:t>…</w:t>
            </w:r>
          </w:p>
          <w:p w14:paraId="1B821C79" w14:textId="08E0DB62" w:rsidR="00021480" w:rsidRPr="002B04FE" w:rsidRDefault="00021480" w:rsidP="002B04FE">
            <w:pPr>
              <w:pStyle w:val="Heading2"/>
              <w:numPr>
                <w:ilvl w:val="1"/>
                <w:numId w:val="22"/>
              </w:numPr>
              <w:outlineLvl w:val="1"/>
              <w:rPr>
                <w:rFonts w:ascii="Arial" w:hAnsi="Arial"/>
                <w:b w:val="0"/>
              </w:rPr>
            </w:pPr>
            <w:bookmarkStart w:id="0" w:name="_Toc65676846"/>
            <w:r w:rsidRPr="002B04FE">
              <w:rPr>
                <w:rFonts w:ascii="Arial" w:hAnsi="Arial"/>
                <w:b w:val="0"/>
              </w:rPr>
              <w:t>Thresholds for quotes and tenders</w:t>
            </w:r>
            <w:bookmarkEnd w:id="0"/>
            <w:r w:rsidR="00CE408D" w:rsidRPr="002B04FE">
              <w:rPr>
                <w:rFonts w:ascii="Arial" w:hAnsi="Arial"/>
                <w:b w:val="0"/>
                <w:u w:val="single"/>
              </w:rPr>
              <w:t>*</w:t>
            </w:r>
          </w:p>
          <w:tbl>
            <w:tblPr>
              <w:tblStyle w:val="TableGrid"/>
              <w:tblW w:w="5982" w:type="dxa"/>
              <w:tblLayout w:type="fixed"/>
              <w:tblLook w:val="00A0" w:firstRow="1" w:lastRow="0" w:firstColumn="1" w:lastColumn="0" w:noHBand="0" w:noVBand="0"/>
            </w:tblPr>
            <w:tblGrid>
              <w:gridCol w:w="1555"/>
              <w:gridCol w:w="1592"/>
              <w:gridCol w:w="1418"/>
              <w:gridCol w:w="1417"/>
            </w:tblGrid>
            <w:tr w:rsidR="00021480" w:rsidRPr="005F0B51" w14:paraId="7422D0E4" w14:textId="77777777" w:rsidTr="0001645D">
              <w:trPr>
                <w:trHeight w:val="74"/>
              </w:trPr>
              <w:tc>
                <w:tcPr>
                  <w:tcW w:w="1555" w:type="dxa"/>
                </w:tcPr>
                <w:p w14:paraId="221603D0" w14:textId="77777777" w:rsidR="00021480" w:rsidRPr="00801E4B" w:rsidRDefault="00021480" w:rsidP="004B12B2">
                  <w:pPr>
                    <w:pStyle w:val="dNormParatext"/>
                    <w:ind w:left="57"/>
                    <w:rPr>
                      <w:rFonts w:cs="Arial"/>
                      <w:b/>
                      <w:sz w:val="16"/>
                      <w:szCs w:val="16"/>
                    </w:rPr>
                  </w:pPr>
                  <w:r w:rsidRPr="00801E4B">
                    <w:rPr>
                      <w:rFonts w:cs="Arial"/>
                      <w:b/>
                      <w:sz w:val="16"/>
                      <w:szCs w:val="16"/>
                    </w:rPr>
                    <w:t xml:space="preserve">Total value of contract </w:t>
                  </w:r>
                </w:p>
              </w:tc>
              <w:tc>
                <w:tcPr>
                  <w:tcW w:w="1592" w:type="dxa"/>
                </w:tcPr>
                <w:p w14:paraId="419CF8A9" w14:textId="77777777" w:rsidR="00021480" w:rsidRPr="00801E4B" w:rsidRDefault="00021480" w:rsidP="004B12B2">
                  <w:pPr>
                    <w:pStyle w:val="dNormParatext"/>
                    <w:ind w:left="57"/>
                    <w:rPr>
                      <w:rFonts w:cs="Arial"/>
                      <w:b/>
                      <w:sz w:val="16"/>
                      <w:szCs w:val="16"/>
                    </w:rPr>
                  </w:pPr>
                  <w:r w:rsidRPr="00801E4B">
                    <w:rPr>
                      <w:rFonts w:cs="Arial"/>
                      <w:b/>
                      <w:sz w:val="16"/>
                      <w:szCs w:val="16"/>
                    </w:rPr>
                    <w:t>Quotes or tendering</w:t>
                  </w:r>
                </w:p>
              </w:tc>
              <w:tc>
                <w:tcPr>
                  <w:tcW w:w="1418" w:type="dxa"/>
                </w:tcPr>
                <w:p w14:paraId="3DFC4AC7" w14:textId="77777777" w:rsidR="00021480" w:rsidRPr="00801E4B" w:rsidRDefault="00021480" w:rsidP="004B12B2">
                  <w:pPr>
                    <w:pStyle w:val="dNormParatext"/>
                    <w:ind w:left="57"/>
                    <w:rPr>
                      <w:rFonts w:cs="Arial"/>
                      <w:b/>
                      <w:sz w:val="16"/>
                      <w:szCs w:val="16"/>
                    </w:rPr>
                  </w:pPr>
                  <w:r w:rsidRPr="00801E4B">
                    <w:rPr>
                      <w:rFonts w:cs="Arial"/>
                      <w:b/>
                      <w:sz w:val="16"/>
                      <w:szCs w:val="16"/>
                    </w:rPr>
                    <w:t>Advertisement required?</w:t>
                  </w:r>
                </w:p>
              </w:tc>
              <w:tc>
                <w:tcPr>
                  <w:tcW w:w="1417" w:type="dxa"/>
                </w:tcPr>
                <w:p w14:paraId="12CD96E7" w14:textId="77777777" w:rsidR="00021480" w:rsidRPr="00801E4B" w:rsidRDefault="00021480" w:rsidP="004B12B2">
                  <w:pPr>
                    <w:pStyle w:val="dNormParatext"/>
                    <w:ind w:left="57"/>
                    <w:rPr>
                      <w:rFonts w:cs="Arial"/>
                      <w:b/>
                      <w:sz w:val="16"/>
                      <w:szCs w:val="16"/>
                    </w:rPr>
                  </w:pPr>
                  <w:r w:rsidRPr="00801E4B">
                    <w:rPr>
                      <w:rFonts w:cs="Arial"/>
                      <w:b/>
                      <w:sz w:val="16"/>
                      <w:szCs w:val="16"/>
                    </w:rPr>
                    <w:t>Process led by</w:t>
                  </w:r>
                </w:p>
              </w:tc>
            </w:tr>
            <w:tr w:rsidR="00021480" w:rsidRPr="005F0B51" w14:paraId="2A6665EF" w14:textId="77777777" w:rsidTr="0001645D">
              <w:tc>
                <w:tcPr>
                  <w:tcW w:w="1555" w:type="dxa"/>
                </w:tcPr>
                <w:p w14:paraId="76B4A4C6" w14:textId="77777777" w:rsidR="00021480" w:rsidRPr="00801E4B" w:rsidRDefault="00021480" w:rsidP="004B12B2">
                  <w:pPr>
                    <w:pStyle w:val="dNormParatext"/>
                    <w:ind w:left="57"/>
                    <w:rPr>
                      <w:rFonts w:cs="Arial"/>
                      <w:sz w:val="16"/>
                      <w:szCs w:val="16"/>
                    </w:rPr>
                  </w:pPr>
                  <w:r w:rsidRPr="00801E4B">
                    <w:rPr>
                      <w:rFonts w:cs="Arial"/>
                      <w:sz w:val="16"/>
                      <w:szCs w:val="16"/>
                    </w:rPr>
                    <w:t>&lt;  £10,000</w:t>
                  </w:r>
                </w:p>
              </w:tc>
              <w:tc>
                <w:tcPr>
                  <w:tcW w:w="1592" w:type="dxa"/>
                </w:tcPr>
                <w:p w14:paraId="0B223A24" w14:textId="77777777" w:rsidR="00021480" w:rsidRPr="00801E4B" w:rsidRDefault="00021480" w:rsidP="004B12B2">
                  <w:pPr>
                    <w:pStyle w:val="dNormParatext"/>
                    <w:ind w:left="57"/>
                    <w:rPr>
                      <w:rFonts w:cs="Arial"/>
                      <w:sz w:val="16"/>
                      <w:szCs w:val="16"/>
                    </w:rPr>
                  </w:pPr>
                  <w:r w:rsidRPr="00801E4B">
                    <w:rPr>
                      <w:rFonts w:cs="Arial"/>
                      <w:sz w:val="16"/>
                      <w:szCs w:val="16"/>
                    </w:rPr>
                    <w:t xml:space="preserve">Minimum one quote in writing, (local* if possible) alternatively an approved Framework may be used </w:t>
                  </w:r>
                </w:p>
              </w:tc>
              <w:tc>
                <w:tcPr>
                  <w:tcW w:w="1418" w:type="dxa"/>
                </w:tcPr>
                <w:p w14:paraId="3B1D3472" w14:textId="77777777" w:rsidR="00021480" w:rsidRPr="00801E4B" w:rsidRDefault="00021480" w:rsidP="004B12B2">
                  <w:pPr>
                    <w:pStyle w:val="dNormParatext"/>
                    <w:ind w:left="57"/>
                    <w:rPr>
                      <w:rFonts w:cs="Arial"/>
                      <w:sz w:val="16"/>
                      <w:szCs w:val="16"/>
                    </w:rPr>
                  </w:pPr>
                  <w:r w:rsidRPr="00801E4B">
                    <w:rPr>
                      <w:rFonts w:cs="Arial"/>
                      <w:sz w:val="16"/>
                      <w:szCs w:val="16"/>
                    </w:rPr>
                    <w:t>No</w:t>
                  </w:r>
                </w:p>
              </w:tc>
              <w:tc>
                <w:tcPr>
                  <w:tcW w:w="1417" w:type="dxa"/>
                </w:tcPr>
                <w:p w14:paraId="6A71CA2F" w14:textId="77777777" w:rsidR="00021480" w:rsidRPr="00801E4B" w:rsidRDefault="00021480" w:rsidP="004B12B2">
                  <w:pPr>
                    <w:pStyle w:val="dNormParatext"/>
                    <w:ind w:left="57"/>
                    <w:rPr>
                      <w:rFonts w:cs="Arial"/>
                      <w:sz w:val="16"/>
                      <w:szCs w:val="16"/>
                    </w:rPr>
                  </w:pPr>
                  <w:r w:rsidRPr="00801E4B">
                    <w:rPr>
                      <w:rFonts w:cs="Arial"/>
                      <w:sz w:val="16"/>
                      <w:szCs w:val="16"/>
                    </w:rPr>
                    <w:t>Officer authorised by the relevant Head of Service</w:t>
                  </w:r>
                </w:p>
              </w:tc>
            </w:tr>
            <w:tr w:rsidR="00021480" w:rsidRPr="005F0B51" w14:paraId="211BA8D3" w14:textId="77777777" w:rsidTr="0001645D">
              <w:tc>
                <w:tcPr>
                  <w:tcW w:w="1555" w:type="dxa"/>
                </w:tcPr>
                <w:p w14:paraId="35615B24" w14:textId="77777777" w:rsidR="00021480" w:rsidRPr="00801E4B" w:rsidRDefault="00021480" w:rsidP="004B12B2">
                  <w:pPr>
                    <w:pStyle w:val="dNormParatext"/>
                    <w:ind w:left="57"/>
                    <w:rPr>
                      <w:rFonts w:cs="Arial"/>
                      <w:sz w:val="16"/>
                      <w:szCs w:val="16"/>
                    </w:rPr>
                  </w:pPr>
                  <w:r w:rsidRPr="00801E4B">
                    <w:rPr>
                      <w:rFonts w:cs="Arial"/>
                      <w:sz w:val="16"/>
                      <w:szCs w:val="16"/>
                    </w:rPr>
                    <w:t>&gt;=£10,000</w:t>
                  </w:r>
                </w:p>
                <w:p w14:paraId="72F23B55" w14:textId="77777777" w:rsidR="00021480" w:rsidRPr="00801E4B" w:rsidRDefault="00021480" w:rsidP="004B12B2">
                  <w:pPr>
                    <w:pStyle w:val="dNormParatext"/>
                    <w:ind w:left="57"/>
                    <w:rPr>
                      <w:rFonts w:cs="Arial"/>
                      <w:sz w:val="16"/>
                      <w:szCs w:val="16"/>
                    </w:rPr>
                  </w:pPr>
                  <w:r w:rsidRPr="00801E4B">
                    <w:rPr>
                      <w:rFonts w:cs="Arial"/>
                      <w:sz w:val="16"/>
                      <w:szCs w:val="16"/>
                    </w:rPr>
                    <w:t>&lt;=£25,000</w:t>
                  </w:r>
                </w:p>
              </w:tc>
              <w:tc>
                <w:tcPr>
                  <w:tcW w:w="1592" w:type="dxa"/>
                </w:tcPr>
                <w:p w14:paraId="51DB221D" w14:textId="77777777" w:rsidR="00021480" w:rsidRPr="00801E4B" w:rsidRDefault="00021480" w:rsidP="004B12B2">
                  <w:pPr>
                    <w:pStyle w:val="dNormParatext"/>
                    <w:ind w:left="57"/>
                    <w:rPr>
                      <w:rFonts w:cs="Arial"/>
                      <w:sz w:val="16"/>
                      <w:szCs w:val="16"/>
                    </w:rPr>
                  </w:pPr>
                  <w:r w:rsidRPr="00801E4B">
                    <w:rPr>
                      <w:rFonts w:cs="Arial"/>
                      <w:sz w:val="16"/>
                      <w:szCs w:val="16"/>
                    </w:rPr>
                    <w:t>Obtain up to three written quotes (minimum two), attempt to seek at least one from a local* supplier alternatively an approved Framework may be used</w:t>
                  </w:r>
                </w:p>
              </w:tc>
              <w:tc>
                <w:tcPr>
                  <w:tcW w:w="1418" w:type="dxa"/>
                </w:tcPr>
                <w:p w14:paraId="5EB8A4A6" w14:textId="45BB8363" w:rsidR="00021480" w:rsidRPr="00801E4B" w:rsidRDefault="00021480" w:rsidP="004B12B2">
                  <w:pPr>
                    <w:pStyle w:val="dNormParatext"/>
                    <w:ind w:left="57"/>
                    <w:rPr>
                      <w:rFonts w:cs="Arial"/>
                      <w:sz w:val="16"/>
                      <w:szCs w:val="16"/>
                    </w:rPr>
                  </w:pPr>
                  <w:r w:rsidRPr="00801E4B">
                    <w:rPr>
                      <w:rFonts w:cs="Arial"/>
                      <w:sz w:val="16"/>
                      <w:szCs w:val="16"/>
                    </w:rPr>
                    <w:t xml:space="preserve">Advertising should be considered and any contract </w:t>
                  </w:r>
                  <w:r w:rsidR="00CE408D">
                    <w:rPr>
                      <w:rFonts w:cs="Arial"/>
                      <w:sz w:val="16"/>
                      <w:szCs w:val="16"/>
                      <w:u w:val="single"/>
                    </w:rPr>
                    <w:t xml:space="preserve">of </w:t>
                  </w:r>
                  <w:r w:rsidRPr="00CE408D">
                    <w:rPr>
                      <w:rFonts w:cs="Arial"/>
                      <w:strike/>
                      <w:sz w:val="16"/>
                      <w:szCs w:val="16"/>
                    </w:rPr>
                    <w:t xml:space="preserve">over </w:t>
                  </w:r>
                  <w:r w:rsidRPr="00801E4B">
                    <w:rPr>
                      <w:rFonts w:cs="Arial"/>
                      <w:sz w:val="16"/>
                      <w:szCs w:val="16"/>
                    </w:rPr>
                    <w:t>£25,000</w:t>
                  </w:r>
                  <w:r w:rsidRPr="00801E4B">
                    <w:rPr>
                      <w:rFonts w:eastAsia="Calibri" w:cs="Arial"/>
                      <w:sz w:val="16"/>
                      <w:szCs w:val="16"/>
                    </w:rPr>
                    <w:t xml:space="preserve"> </w:t>
                  </w:r>
                  <w:r w:rsidR="00CE408D">
                    <w:rPr>
                      <w:rFonts w:eastAsia="Calibri" w:cs="Arial"/>
                      <w:sz w:val="16"/>
                      <w:szCs w:val="16"/>
                      <w:u w:val="single"/>
                    </w:rPr>
                    <w:t xml:space="preserve">and over </w:t>
                  </w:r>
                  <w:r w:rsidRPr="00801E4B">
                    <w:rPr>
                      <w:rFonts w:cs="Arial"/>
                      <w:sz w:val="16"/>
                      <w:szCs w:val="16"/>
                    </w:rPr>
                    <w:t>must be placed  on contracts finder in any event</w:t>
                  </w:r>
                </w:p>
              </w:tc>
              <w:tc>
                <w:tcPr>
                  <w:tcW w:w="1417" w:type="dxa"/>
                </w:tcPr>
                <w:p w14:paraId="6C9166A5" w14:textId="77777777" w:rsidR="00021480" w:rsidRPr="00801E4B" w:rsidDel="00214329" w:rsidRDefault="00021480" w:rsidP="004B12B2">
                  <w:pPr>
                    <w:pStyle w:val="dNormParatext"/>
                    <w:ind w:left="57"/>
                    <w:rPr>
                      <w:rFonts w:cs="Arial"/>
                      <w:sz w:val="16"/>
                      <w:szCs w:val="16"/>
                    </w:rPr>
                  </w:pPr>
                  <w:r w:rsidRPr="00801E4B">
                    <w:rPr>
                      <w:rFonts w:cs="Arial"/>
                      <w:sz w:val="16"/>
                      <w:szCs w:val="16"/>
                    </w:rPr>
                    <w:t>Officer authorised by the relevant Head of Service</w:t>
                  </w:r>
                </w:p>
              </w:tc>
            </w:tr>
            <w:tr w:rsidR="00021480" w:rsidRPr="005F0B51" w14:paraId="41EAE5F2" w14:textId="77777777" w:rsidTr="0001645D">
              <w:tc>
                <w:tcPr>
                  <w:tcW w:w="1555" w:type="dxa"/>
                </w:tcPr>
                <w:p w14:paraId="3D287B3F" w14:textId="77777777" w:rsidR="00021480" w:rsidRPr="00801E4B" w:rsidRDefault="00021480" w:rsidP="004B12B2">
                  <w:pPr>
                    <w:pStyle w:val="dNormParatext"/>
                    <w:ind w:left="57"/>
                    <w:rPr>
                      <w:rFonts w:cs="Arial"/>
                      <w:sz w:val="16"/>
                      <w:szCs w:val="16"/>
                    </w:rPr>
                  </w:pPr>
                  <w:r w:rsidRPr="00801E4B">
                    <w:rPr>
                      <w:rFonts w:cs="Arial"/>
                      <w:sz w:val="16"/>
                      <w:szCs w:val="16"/>
                    </w:rPr>
                    <w:lastRenderedPageBreak/>
                    <w:t xml:space="preserve">&gt;£25,000 &lt;=£100,000 </w:t>
                  </w:r>
                </w:p>
              </w:tc>
              <w:tc>
                <w:tcPr>
                  <w:tcW w:w="1592" w:type="dxa"/>
                </w:tcPr>
                <w:p w14:paraId="550CFC7F" w14:textId="77777777" w:rsidR="00021480" w:rsidRPr="00801E4B" w:rsidRDefault="00021480" w:rsidP="004B12B2">
                  <w:pPr>
                    <w:spacing w:before="120"/>
                    <w:rPr>
                      <w:rFonts w:ascii="Arial" w:hAnsi="Arial" w:cs="Arial"/>
                      <w:sz w:val="16"/>
                      <w:szCs w:val="16"/>
                    </w:rPr>
                  </w:pPr>
                  <w:r w:rsidRPr="00801E4B">
                    <w:rPr>
                      <w:rFonts w:ascii="Arial" w:hAnsi="Arial" w:cs="Arial"/>
                      <w:sz w:val="16"/>
                      <w:szCs w:val="16"/>
                    </w:rPr>
                    <w:t xml:space="preserve">Obtain up to four written quotes (minimum three), Attempt to seek at least one from a local* supplier. Alternatively an approved Framework may be used </w:t>
                  </w:r>
                </w:p>
                <w:p w14:paraId="6E3F8174" w14:textId="77777777" w:rsidR="00021480" w:rsidRPr="00801E4B" w:rsidRDefault="00021480" w:rsidP="004B12B2">
                  <w:pPr>
                    <w:spacing w:before="120"/>
                    <w:rPr>
                      <w:rFonts w:ascii="Arial" w:hAnsi="Arial" w:cs="Arial"/>
                      <w:sz w:val="16"/>
                      <w:szCs w:val="16"/>
                    </w:rPr>
                  </w:pPr>
                </w:p>
              </w:tc>
              <w:tc>
                <w:tcPr>
                  <w:tcW w:w="1418" w:type="dxa"/>
                </w:tcPr>
                <w:p w14:paraId="15563FDF" w14:textId="77777777" w:rsidR="00021480" w:rsidRPr="00801E4B" w:rsidRDefault="00021480" w:rsidP="004B12B2">
                  <w:pPr>
                    <w:pStyle w:val="dNormParatext"/>
                    <w:ind w:left="57"/>
                    <w:rPr>
                      <w:rFonts w:cs="Arial"/>
                      <w:sz w:val="16"/>
                      <w:szCs w:val="16"/>
                    </w:rPr>
                  </w:pPr>
                  <w:r w:rsidRPr="00801E4B">
                    <w:rPr>
                      <w:rFonts w:cs="Arial"/>
                      <w:sz w:val="16"/>
                      <w:szCs w:val="16"/>
                    </w:rPr>
                    <w:t xml:space="preserve">Yes, advertised on the corporate system and on contracts finder. </w:t>
                  </w:r>
                </w:p>
              </w:tc>
              <w:tc>
                <w:tcPr>
                  <w:tcW w:w="1417" w:type="dxa"/>
                </w:tcPr>
                <w:p w14:paraId="28DD03E3" w14:textId="77777777" w:rsidR="00021480" w:rsidRPr="00801E4B" w:rsidDel="00553765" w:rsidRDefault="00021480" w:rsidP="004B12B2">
                  <w:pPr>
                    <w:pStyle w:val="dNormParatext"/>
                    <w:ind w:left="57"/>
                    <w:rPr>
                      <w:rFonts w:cs="Arial"/>
                      <w:sz w:val="16"/>
                      <w:szCs w:val="16"/>
                    </w:rPr>
                  </w:pPr>
                  <w:r w:rsidRPr="00801E4B">
                    <w:rPr>
                      <w:rFonts w:cs="Arial"/>
                      <w:sz w:val="16"/>
                      <w:szCs w:val="16"/>
                    </w:rPr>
                    <w:t>Authorised Procurement Practitioner or Procurement Team</w:t>
                  </w:r>
                </w:p>
              </w:tc>
            </w:tr>
            <w:tr w:rsidR="00021480" w:rsidRPr="005F0B51" w14:paraId="0CFC7D34" w14:textId="77777777" w:rsidTr="0001645D">
              <w:tc>
                <w:tcPr>
                  <w:tcW w:w="1555" w:type="dxa"/>
                </w:tcPr>
                <w:p w14:paraId="6B843D84" w14:textId="18C8AFEB" w:rsidR="00021480" w:rsidRPr="00801E4B" w:rsidRDefault="00021480" w:rsidP="004B12B2">
                  <w:pPr>
                    <w:pStyle w:val="dNormParatext"/>
                    <w:ind w:left="57"/>
                    <w:rPr>
                      <w:rFonts w:cs="Arial"/>
                      <w:sz w:val="16"/>
                      <w:szCs w:val="16"/>
                    </w:rPr>
                  </w:pPr>
                  <w:r w:rsidRPr="00801E4B">
                    <w:rPr>
                      <w:rFonts w:cs="Arial"/>
                      <w:sz w:val="16"/>
                      <w:szCs w:val="16"/>
                    </w:rPr>
                    <w:t xml:space="preserve">&gt;£100,000 &lt; </w:t>
                  </w:r>
                  <w:r w:rsidRPr="00801E4B">
                    <w:rPr>
                      <w:rFonts w:cs="Arial"/>
                      <w:strike/>
                      <w:sz w:val="16"/>
                      <w:szCs w:val="16"/>
                    </w:rPr>
                    <w:t>£185,000</w:t>
                  </w:r>
                  <w:r w:rsidRPr="00801E4B">
                    <w:rPr>
                      <w:rFonts w:cs="Arial"/>
                      <w:sz w:val="16"/>
                      <w:szCs w:val="16"/>
                    </w:rPr>
                    <w:t xml:space="preserve"> £213,477 including VAT</w:t>
                  </w:r>
                </w:p>
              </w:tc>
              <w:tc>
                <w:tcPr>
                  <w:tcW w:w="1592" w:type="dxa"/>
                </w:tcPr>
                <w:p w14:paraId="4B38F188" w14:textId="77777777" w:rsidR="00021480" w:rsidRPr="00801E4B" w:rsidRDefault="00021480" w:rsidP="004B12B2">
                  <w:pPr>
                    <w:spacing w:before="120"/>
                    <w:rPr>
                      <w:rFonts w:ascii="Arial" w:hAnsi="Arial" w:cs="Arial"/>
                      <w:sz w:val="16"/>
                      <w:szCs w:val="16"/>
                    </w:rPr>
                  </w:pPr>
                  <w:r w:rsidRPr="00801E4B">
                    <w:rPr>
                      <w:rFonts w:ascii="Arial" w:hAnsi="Arial" w:cs="Arial"/>
                      <w:sz w:val="16"/>
                      <w:szCs w:val="16"/>
                    </w:rPr>
                    <w:t>Obtain up to six quotes (minimum four). Attempt to seek at least one from a local* supplier. Alternatively an approved Framework may be used.</w:t>
                  </w:r>
                </w:p>
                <w:p w14:paraId="6296BC8E" w14:textId="77777777" w:rsidR="00021480" w:rsidRPr="00801E4B" w:rsidRDefault="00021480" w:rsidP="004B12B2">
                  <w:pPr>
                    <w:spacing w:before="120"/>
                    <w:rPr>
                      <w:rFonts w:ascii="Arial" w:hAnsi="Arial" w:cs="Arial"/>
                      <w:sz w:val="16"/>
                      <w:szCs w:val="16"/>
                    </w:rPr>
                  </w:pPr>
                </w:p>
              </w:tc>
              <w:tc>
                <w:tcPr>
                  <w:tcW w:w="1418" w:type="dxa"/>
                </w:tcPr>
                <w:p w14:paraId="4BCC7EBC" w14:textId="77777777" w:rsidR="00021480" w:rsidRPr="00801E4B" w:rsidRDefault="00021480" w:rsidP="004B12B2">
                  <w:pPr>
                    <w:pStyle w:val="dNormParatext"/>
                    <w:ind w:left="57"/>
                    <w:rPr>
                      <w:rFonts w:cs="Arial"/>
                      <w:sz w:val="16"/>
                      <w:szCs w:val="16"/>
                    </w:rPr>
                  </w:pPr>
                  <w:r w:rsidRPr="00801E4B">
                    <w:rPr>
                      <w:rFonts w:cs="Arial"/>
                      <w:sz w:val="16"/>
                      <w:szCs w:val="16"/>
                    </w:rPr>
                    <w:t>Yes, advertised on the corporate system and on contracts finder</w:t>
                  </w:r>
                </w:p>
              </w:tc>
              <w:tc>
                <w:tcPr>
                  <w:tcW w:w="1417" w:type="dxa"/>
                </w:tcPr>
                <w:p w14:paraId="7F26C264" w14:textId="77777777" w:rsidR="00021480" w:rsidRPr="00801E4B" w:rsidRDefault="00021480" w:rsidP="004B12B2">
                  <w:pPr>
                    <w:pStyle w:val="dNormParatext"/>
                    <w:ind w:left="57"/>
                    <w:rPr>
                      <w:rFonts w:cs="Arial"/>
                      <w:sz w:val="16"/>
                      <w:szCs w:val="16"/>
                    </w:rPr>
                  </w:pPr>
                  <w:r w:rsidRPr="00801E4B">
                    <w:rPr>
                      <w:rFonts w:cs="Arial"/>
                      <w:sz w:val="16"/>
                      <w:szCs w:val="16"/>
                    </w:rPr>
                    <w:t>Authorised Procurement Practitioner or Procurement Team</w:t>
                  </w:r>
                </w:p>
              </w:tc>
            </w:tr>
            <w:tr w:rsidR="00021480" w:rsidRPr="005F0B51" w14:paraId="77AFDC96" w14:textId="77777777" w:rsidTr="0001645D">
              <w:tc>
                <w:tcPr>
                  <w:tcW w:w="1555" w:type="dxa"/>
                </w:tcPr>
                <w:p w14:paraId="7F43B923" w14:textId="642273FD" w:rsidR="00021480" w:rsidRPr="00801E4B" w:rsidRDefault="00021480" w:rsidP="004B12B2">
                  <w:pPr>
                    <w:pStyle w:val="dNormParatext"/>
                    <w:ind w:left="57"/>
                    <w:rPr>
                      <w:rFonts w:cs="Arial"/>
                      <w:strike/>
                      <w:sz w:val="16"/>
                      <w:szCs w:val="16"/>
                    </w:rPr>
                  </w:pPr>
                  <w:r w:rsidRPr="00801E4B">
                    <w:rPr>
                      <w:rFonts w:cs="Arial"/>
                      <w:sz w:val="16"/>
                      <w:szCs w:val="16"/>
                    </w:rPr>
                    <w:t>&gt;</w:t>
                  </w:r>
                  <w:r w:rsidRPr="00801E4B">
                    <w:rPr>
                      <w:rFonts w:cs="Arial"/>
                      <w:strike/>
                      <w:sz w:val="16"/>
                      <w:szCs w:val="16"/>
                    </w:rPr>
                    <w:t>£184,000</w:t>
                  </w:r>
                </w:p>
                <w:p w14:paraId="4D5BE591" w14:textId="77777777" w:rsidR="00021480" w:rsidRPr="00801E4B" w:rsidRDefault="00021480" w:rsidP="004B12B2">
                  <w:pPr>
                    <w:pStyle w:val="dNormParatext"/>
                    <w:ind w:left="57"/>
                    <w:rPr>
                      <w:rFonts w:cs="Arial"/>
                      <w:sz w:val="16"/>
                      <w:szCs w:val="16"/>
                    </w:rPr>
                  </w:pPr>
                  <w:r w:rsidRPr="00801E4B">
                    <w:rPr>
                      <w:rFonts w:cs="Arial"/>
                      <w:sz w:val="16"/>
                      <w:szCs w:val="16"/>
                    </w:rPr>
                    <w:t>£213,477 including VAT (Goods and Services)</w:t>
                  </w:r>
                </w:p>
                <w:p w14:paraId="5982D5EC" w14:textId="77777777" w:rsidR="00021480" w:rsidRPr="00801E4B" w:rsidDel="00C72CBA" w:rsidRDefault="00021480" w:rsidP="004B12B2">
                  <w:pPr>
                    <w:pStyle w:val="dNormParatext"/>
                    <w:ind w:left="57"/>
                    <w:rPr>
                      <w:rFonts w:cs="Arial"/>
                      <w:sz w:val="16"/>
                      <w:szCs w:val="16"/>
                    </w:rPr>
                  </w:pPr>
                  <w:r w:rsidRPr="00801E4B">
                    <w:rPr>
                      <w:rFonts w:cs="Arial"/>
                      <w:sz w:val="16"/>
                      <w:szCs w:val="16"/>
                    </w:rPr>
                    <w:t>£5,336,937 including VAT (Works)</w:t>
                  </w:r>
                </w:p>
              </w:tc>
              <w:tc>
                <w:tcPr>
                  <w:tcW w:w="1592" w:type="dxa"/>
                </w:tcPr>
                <w:p w14:paraId="0B55AE4E" w14:textId="77777777" w:rsidR="00021480" w:rsidRPr="00801E4B" w:rsidRDefault="00021480" w:rsidP="004B12B2">
                  <w:pPr>
                    <w:pStyle w:val="dNormParatext"/>
                    <w:ind w:left="57"/>
                    <w:rPr>
                      <w:rFonts w:cs="Arial"/>
                      <w:sz w:val="16"/>
                      <w:szCs w:val="16"/>
                    </w:rPr>
                  </w:pPr>
                  <w:r w:rsidRPr="00801E4B">
                    <w:rPr>
                      <w:rFonts w:cs="Arial"/>
                      <w:sz w:val="16"/>
                      <w:szCs w:val="16"/>
                    </w:rPr>
                    <w:t xml:space="preserve">Invite tenders (procurement law and guidance must be followed for contracts over the FTS thresholds) – process conducted by Procurement Team </w:t>
                  </w:r>
                </w:p>
              </w:tc>
              <w:tc>
                <w:tcPr>
                  <w:tcW w:w="1418" w:type="dxa"/>
                </w:tcPr>
                <w:p w14:paraId="710CAB91" w14:textId="77777777" w:rsidR="00021480" w:rsidRPr="00801E4B" w:rsidRDefault="00021480" w:rsidP="004B12B2">
                  <w:pPr>
                    <w:pStyle w:val="dNormParatext"/>
                    <w:ind w:left="57"/>
                    <w:rPr>
                      <w:rFonts w:cs="Arial"/>
                      <w:sz w:val="16"/>
                      <w:szCs w:val="16"/>
                    </w:rPr>
                  </w:pPr>
                  <w:r w:rsidRPr="00801E4B">
                    <w:rPr>
                      <w:rFonts w:cs="Arial"/>
                      <w:sz w:val="16"/>
                      <w:szCs w:val="16"/>
                    </w:rPr>
                    <w:t xml:space="preserve">The corporate system </w:t>
                  </w:r>
                </w:p>
                <w:p w14:paraId="0E1ED396" w14:textId="77777777" w:rsidR="00021480" w:rsidRPr="00801E4B" w:rsidRDefault="00021480" w:rsidP="004B12B2">
                  <w:pPr>
                    <w:pStyle w:val="dNormParatext"/>
                    <w:ind w:left="57"/>
                    <w:rPr>
                      <w:rFonts w:cs="Arial"/>
                      <w:sz w:val="16"/>
                      <w:szCs w:val="16"/>
                    </w:rPr>
                  </w:pPr>
                </w:p>
              </w:tc>
              <w:tc>
                <w:tcPr>
                  <w:tcW w:w="1417" w:type="dxa"/>
                </w:tcPr>
                <w:p w14:paraId="4FA7E959" w14:textId="77777777" w:rsidR="00021480" w:rsidRPr="00801E4B" w:rsidRDefault="00021480" w:rsidP="004B12B2">
                  <w:pPr>
                    <w:pStyle w:val="dNormParatext"/>
                    <w:ind w:left="57"/>
                    <w:rPr>
                      <w:rFonts w:cs="Arial"/>
                      <w:sz w:val="16"/>
                      <w:szCs w:val="16"/>
                    </w:rPr>
                  </w:pPr>
                  <w:r w:rsidRPr="00801E4B">
                    <w:rPr>
                      <w:rFonts w:cs="Arial"/>
                      <w:sz w:val="16"/>
                      <w:szCs w:val="16"/>
                    </w:rPr>
                    <w:t>Procurement Team</w:t>
                  </w:r>
                </w:p>
              </w:tc>
            </w:tr>
          </w:tbl>
          <w:p w14:paraId="3C811594" w14:textId="77777777" w:rsidR="00801E4B" w:rsidRDefault="00801E4B" w:rsidP="004B12B2">
            <w:pPr>
              <w:rPr>
                <w:rFonts w:ascii="Arial" w:hAnsi="Arial" w:cs="Arial"/>
                <w:sz w:val="24"/>
                <w:szCs w:val="24"/>
                <w:u w:val="single"/>
              </w:rPr>
            </w:pPr>
          </w:p>
          <w:p w14:paraId="714F30BB" w14:textId="77777777" w:rsidR="00CE408D" w:rsidRDefault="00801E4B" w:rsidP="00CE408D">
            <w:pPr>
              <w:rPr>
                <w:rFonts w:ascii="Arial" w:hAnsi="Arial" w:cs="Arial"/>
                <w:sz w:val="24"/>
                <w:szCs w:val="24"/>
                <w:u w:val="single"/>
              </w:rPr>
            </w:pPr>
            <w:r w:rsidRPr="00B15969">
              <w:rPr>
                <w:rFonts w:ascii="Arial" w:hAnsi="Arial" w:cs="Arial"/>
                <w:sz w:val="24"/>
                <w:szCs w:val="24"/>
                <w:u w:val="single"/>
              </w:rPr>
              <w:t>Where the option exists to Direct Award under a Framework, the rules of the framework allowing for direct award must be followed which should include as a minimum a full justification from the service area and sign off from the relevant Head of Service</w:t>
            </w:r>
            <w:r w:rsidR="00CE408D">
              <w:rPr>
                <w:rFonts w:ascii="Arial" w:hAnsi="Arial" w:cs="Arial"/>
                <w:sz w:val="24"/>
                <w:szCs w:val="24"/>
                <w:u w:val="single"/>
              </w:rPr>
              <w:t>.</w:t>
            </w:r>
            <w:r w:rsidRPr="00B15969">
              <w:rPr>
                <w:rFonts w:ascii="Arial" w:hAnsi="Arial" w:cs="Arial"/>
                <w:sz w:val="24"/>
                <w:szCs w:val="24"/>
                <w:u w:val="single"/>
              </w:rPr>
              <w:t xml:space="preserve"> </w:t>
            </w:r>
            <w:r w:rsidR="00CE408D" w:rsidRPr="00CE408D">
              <w:rPr>
                <w:rFonts w:ascii="Arial" w:hAnsi="Arial" w:cs="Arial"/>
                <w:sz w:val="24"/>
                <w:szCs w:val="24"/>
                <w:u w:val="single"/>
              </w:rPr>
              <w:t>The approval of the Head of Financial Services will also be required for contracts with a value of £100,000 and over.</w:t>
            </w:r>
          </w:p>
          <w:p w14:paraId="4D856DF2" w14:textId="77777777" w:rsidR="00CE408D" w:rsidRDefault="00CE408D" w:rsidP="00CE408D">
            <w:pPr>
              <w:rPr>
                <w:rFonts w:ascii="Arial" w:hAnsi="Arial" w:cs="Arial"/>
                <w:sz w:val="24"/>
                <w:szCs w:val="24"/>
                <w:u w:val="single"/>
              </w:rPr>
            </w:pPr>
          </w:p>
          <w:p w14:paraId="39ED09E8" w14:textId="77777777" w:rsidR="00021480" w:rsidRDefault="00CE408D" w:rsidP="00CE408D">
            <w:pPr>
              <w:rPr>
                <w:rFonts w:ascii="Arial" w:hAnsi="Arial" w:cs="Arial"/>
                <w:sz w:val="24"/>
                <w:szCs w:val="24"/>
                <w:u w:val="single"/>
              </w:rPr>
            </w:pPr>
            <w:r w:rsidRPr="00CE408D">
              <w:rPr>
                <w:rFonts w:ascii="Arial" w:hAnsi="Arial" w:cs="Arial"/>
                <w:sz w:val="24"/>
                <w:szCs w:val="24"/>
                <w:u w:val="single"/>
              </w:rPr>
              <w:lastRenderedPageBreak/>
              <w:t>*This will be the procurement limits as published from time to time by the Government</w:t>
            </w:r>
          </w:p>
          <w:p w14:paraId="5F9134AE" w14:textId="77777777" w:rsidR="002B04FE" w:rsidRDefault="002B04FE" w:rsidP="00CE408D">
            <w:pPr>
              <w:rPr>
                <w:rFonts w:ascii="Arial" w:hAnsi="Arial" w:cs="Arial"/>
                <w:sz w:val="24"/>
                <w:szCs w:val="24"/>
                <w:u w:val="single"/>
              </w:rPr>
            </w:pPr>
          </w:p>
          <w:p w14:paraId="3106F7B0" w14:textId="77777777" w:rsidR="002B04FE" w:rsidRPr="002B04FE" w:rsidRDefault="002B04FE" w:rsidP="002B04FE">
            <w:pPr>
              <w:rPr>
                <w:rFonts w:ascii="Arial" w:eastAsia="Calibri" w:hAnsi="Arial" w:cs="Arial"/>
                <w:iCs/>
                <w:sz w:val="24"/>
                <w:szCs w:val="24"/>
              </w:rPr>
            </w:pPr>
            <w:r w:rsidRPr="002B04FE">
              <w:rPr>
                <w:rFonts w:ascii="Arial" w:eastAsia="Calibri" w:hAnsi="Arial" w:cs="Arial"/>
                <w:iCs/>
                <w:sz w:val="24"/>
                <w:szCs w:val="24"/>
              </w:rPr>
              <w:t>19.13 When is there no need to seek quotes or tenders?</w:t>
            </w:r>
          </w:p>
          <w:p w14:paraId="7358DB86" w14:textId="77777777" w:rsidR="002B04FE" w:rsidRPr="002B04FE" w:rsidRDefault="002B04FE" w:rsidP="002B04FE">
            <w:pPr>
              <w:rPr>
                <w:rFonts w:ascii="Arial" w:eastAsia="Calibri" w:hAnsi="Arial" w:cs="Arial"/>
                <w:iCs/>
                <w:sz w:val="24"/>
                <w:szCs w:val="24"/>
              </w:rPr>
            </w:pPr>
          </w:p>
          <w:p w14:paraId="32EA938C" w14:textId="77777777" w:rsidR="002B04FE" w:rsidRPr="002B04FE" w:rsidRDefault="002B04FE" w:rsidP="002B04FE">
            <w:pPr>
              <w:ind w:left="360"/>
              <w:rPr>
                <w:rFonts w:ascii="Arial" w:eastAsia="Calibri" w:hAnsi="Arial" w:cs="Arial"/>
                <w:iCs/>
                <w:sz w:val="24"/>
                <w:szCs w:val="24"/>
              </w:rPr>
            </w:pPr>
            <w:r w:rsidRPr="002B04FE">
              <w:rPr>
                <w:rFonts w:ascii="Arial" w:eastAsia="Calibri" w:hAnsi="Arial" w:cs="Arial"/>
                <w:iCs/>
                <w:sz w:val="24"/>
                <w:szCs w:val="24"/>
              </w:rPr>
              <w:t>An exemption to not seeking quotes or tenders may be given in the following circumstances:</w:t>
            </w:r>
          </w:p>
          <w:p w14:paraId="6C2B430A" w14:textId="77777777" w:rsidR="002B04FE" w:rsidRPr="002B04FE" w:rsidRDefault="002B04FE" w:rsidP="002B04FE">
            <w:pPr>
              <w:ind w:left="360"/>
              <w:rPr>
                <w:rFonts w:ascii="Arial" w:eastAsia="Calibri" w:hAnsi="Arial" w:cs="Arial"/>
                <w:iCs/>
                <w:sz w:val="24"/>
                <w:szCs w:val="24"/>
              </w:rPr>
            </w:pPr>
          </w:p>
          <w:p w14:paraId="6F5B1CB3" w14:textId="77777777" w:rsidR="002B04FE" w:rsidRPr="002B04FE" w:rsidRDefault="002B04FE" w:rsidP="002B04FE">
            <w:pPr>
              <w:ind w:left="720"/>
              <w:rPr>
                <w:rFonts w:ascii="Arial" w:eastAsia="Calibri" w:hAnsi="Arial" w:cs="Arial"/>
                <w:iCs/>
                <w:sz w:val="24"/>
                <w:szCs w:val="24"/>
              </w:rPr>
            </w:pPr>
            <w:r w:rsidRPr="002B04FE">
              <w:rPr>
                <w:rFonts w:ascii="Arial" w:eastAsia="Calibri" w:hAnsi="Arial" w:cs="Arial"/>
                <w:iCs/>
                <w:sz w:val="24"/>
                <w:szCs w:val="24"/>
              </w:rPr>
              <w:t>…</w:t>
            </w:r>
          </w:p>
          <w:p w14:paraId="1568F1F8" w14:textId="1FEF2C63" w:rsidR="002B04FE" w:rsidRPr="002B04FE" w:rsidRDefault="002B04FE" w:rsidP="002B04FE">
            <w:pPr>
              <w:ind w:left="742" w:hanging="742"/>
              <w:rPr>
                <w:rFonts w:ascii="Arial" w:eastAsia="Calibri" w:hAnsi="Arial" w:cs="Arial"/>
                <w:iCs/>
                <w:sz w:val="24"/>
                <w:szCs w:val="24"/>
                <w:u w:val="single"/>
              </w:rPr>
            </w:pPr>
            <w:r w:rsidRPr="002B04FE">
              <w:rPr>
                <w:rFonts w:ascii="Arial" w:eastAsia="Calibri" w:hAnsi="Arial" w:cs="Arial"/>
                <w:iCs/>
                <w:sz w:val="24"/>
                <w:szCs w:val="24"/>
              </w:rPr>
              <w:t>           </w:t>
            </w:r>
            <w:r w:rsidRPr="002B04FE">
              <w:rPr>
                <w:rFonts w:ascii="Arial" w:eastAsia="Calibri" w:hAnsi="Arial" w:cs="Arial"/>
                <w:iCs/>
                <w:sz w:val="24"/>
                <w:szCs w:val="24"/>
                <w:u w:val="single"/>
              </w:rPr>
              <w:t>(e) Where the provision is for a Subscription or Membership and alternative suppliers are not available</w:t>
            </w:r>
          </w:p>
          <w:p w14:paraId="76178325" w14:textId="77777777" w:rsidR="002B04FE" w:rsidRPr="002B04FE" w:rsidRDefault="002B04FE" w:rsidP="002B04FE">
            <w:pPr>
              <w:ind w:left="720"/>
              <w:rPr>
                <w:rFonts w:ascii="Arial" w:eastAsia="Calibri" w:hAnsi="Arial" w:cs="Arial"/>
                <w:iCs/>
                <w:sz w:val="24"/>
                <w:szCs w:val="24"/>
                <w:u w:val="single"/>
              </w:rPr>
            </w:pPr>
            <w:r w:rsidRPr="002B04FE">
              <w:rPr>
                <w:rFonts w:ascii="Arial" w:eastAsia="Calibri" w:hAnsi="Arial" w:cs="Arial"/>
                <w:iCs/>
                <w:sz w:val="24"/>
                <w:szCs w:val="24"/>
                <w:u w:val="single"/>
              </w:rPr>
              <w:t>(f) Where the Council is a member of a Consortium and making a payment towards the Service / Goods / Works being procured as part of the Consortium.  The Council however should ensure that due diligence is undertaken and that value for money is obtained (at least one consortium member should adhere to the PCR2015 if applicable).</w:t>
            </w:r>
          </w:p>
          <w:p w14:paraId="7F0F0A4A" w14:textId="77777777" w:rsidR="002B04FE" w:rsidRPr="002B04FE" w:rsidRDefault="002B04FE" w:rsidP="002B04FE">
            <w:pPr>
              <w:ind w:left="742" w:hanging="22"/>
              <w:rPr>
                <w:rFonts w:ascii="Arial" w:eastAsia="Calibri" w:hAnsi="Arial" w:cs="Arial"/>
                <w:iCs/>
                <w:sz w:val="24"/>
                <w:szCs w:val="24"/>
                <w:u w:val="single"/>
              </w:rPr>
            </w:pPr>
            <w:r w:rsidRPr="002B04FE">
              <w:rPr>
                <w:rFonts w:ascii="Arial" w:eastAsia="Calibri" w:hAnsi="Arial" w:cs="Arial"/>
                <w:iCs/>
                <w:sz w:val="24"/>
                <w:szCs w:val="24"/>
                <w:u w:val="single"/>
              </w:rPr>
              <w:t>(g) Where grant funding incorporates direct instruction as to the supplier to be used.</w:t>
            </w:r>
          </w:p>
          <w:p w14:paraId="36BF7A55" w14:textId="77777777" w:rsidR="00AA49D7" w:rsidRDefault="002B04FE" w:rsidP="002B04FE">
            <w:pPr>
              <w:ind w:left="742" w:hanging="22"/>
              <w:rPr>
                <w:rFonts w:ascii="Arial" w:eastAsia="Calibri" w:hAnsi="Arial" w:cs="Arial"/>
                <w:iCs/>
                <w:sz w:val="24"/>
                <w:szCs w:val="24"/>
                <w:u w:val="single"/>
              </w:rPr>
            </w:pPr>
            <w:r w:rsidRPr="002B04FE">
              <w:rPr>
                <w:rFonts w:ascii="Arial" w:eastAsia="Calibri" w:hAnsi="Arial" w:cs="Arial"/>
                <w:iCs/>
                <w:sz w:val="24"/>
                <w:szCs w:val="24"/>
                <w:u w:val="single"/>
              </w:rPr>
              <w:t>(h) When the Council opt into a National Scheme and the Supplier is assigned.</w:t>
            </w:r>
          </w:p>
          <w:p w14:paraId="538B73E8" w14:textId="24B0C018" w:rsidR="00461FDC" w:rsidRPr="00461FDC" w:rsidRDefault="00461FDC" w:rsidP="002B04FE">
            <w:pPr>
              <w:ind w:left="742" w:hanging="22"/>
              <w:rPr>
                <w:rFonts w:ascii="Arial" w:eastAsia="Calibri" w:hAnsi="Arial" w:cs="Arial"/>
                <w:iCs/>
                <w:sz w:val="24"/>
                <w:szCs w:val="24"/>
              </w:rPr>
            </w:pPr>
            <w:r>
              <w:rPr>
                <w:rFonts w:ascii="Arial" w:eastAsia="Calibri" w:hAnsi="Arial" w:cs="Arial"/>
                <w:iCs/>
                <w:sz w:val="24"/>
                <w:szCs w:val="24"/>
              </w:rPr>
              <w:t>...</w:t>
            </w:r>
          </w:p>
        </w:tc>
      </w:tr>
      <w:tr w:rsidR="00021480" w:rsidRPr="007517F0" w14:paraId="5B74CA40" w14:textId="77777777" w:rsidTr="00A819BC">
        <w:tc>
          <w:tcPr>
            <w:tcW w:w="568" w:type="dxa"/>
            <w:shd w:val="clear" w:color="auto" w:fill="auto"/>
          </w:tcPr>
          <w:p w14:paraId="03B377E8" w14:textId="2C8C9700" w:rsidR="00021480" w:rsidRPr="007078C1" w:rsidRDefault="00E972E9" w:rsidP="00D83D37">
            <w:pPr>
              <w:rPr>
                <w:rFonts w:ascii="Arial" w:hAnsi="Arial" w:cs="Arial"/>
                <w:sz w:val="24"/>
                <w:szCs w:val="24"/>
              </w:rPr>
            </w:pPr>
            <w:r>
              <w:rPr>
                <w:rFonts w:ascii="Arial" w:hAnsi="Arial" w:cs="Arial"/>
                <w:sz w:val="24"/>
                <w:szCs w:val="24"/>
              </w:rPr>
              <w:lastRenderedPageBreak/>
              <w:t>13</w:t>
            </w:r>
          </w:p>
        </w:tc>
        <w:tc>
          <w:tcPr>
            <w:tcW w:w="1985" w:type="dxa"/>
            <w:shd w:val="clear" w:color="auto" w:fill="auto"/>
          </w:tcPr>
          <w:p w14:paraId="676CEF84" w14:textId="520422AF" w:rsidR="00021480" w:rsidRDefault="00021480" w:rsidP="00266BFD">
            <w:pPr>
              <w:rPr>
                <w:rFonts w:ascii="Arial" w:hAnsi="Arial" w:cs="Arial"/>
                <w:sz w:val="24"/>
                <w:szCs w:val="24"/>
              </w:rPr>
            </w:pPr>
            <w:r>
              <w:rPr>
                <w:rFonts w:ascii="Arial" w:hAnsi="Arial" w:cs="Arial"/>
                <w:sz w:val="24"/>
                <w:szCs w:val="24"/>
              </w:rPr>
              <w:t>Part 19.11: Commissioning Oxford Direct S</w:t>
            </w:r>
            <w:r w:rsidRPr="00687645">
              <w:rPr>
                <w:rFonts w:ascii="Arial" w:hAnsi="Arial" w:cs="Arial"/>
                <w:sz w:val="24"/>
                <w:szCs w:val="24"/>
              </w:rPr>
              <w:t>ervices Limited for one off capital schemes</w:t>
            </w:r>
          </w:p>
        </w:tc>
        <w:tc>
          <w:tcPr>
            <w:tcW w:w="6095" w:type="dxa"/>
          </w:tcPr>
          <w:p w14:paraId="2DF72CA1" w14:textId="6EA4F98D" w:rsidR="00021480" w:rsidRDefault="006808DA" w:rsidP="00507F97">
            <w:pPr>
              <w:rPr>
                <w:rFonts w:ascii="Arial" w:hAnsi="Arial" w:cs="Arial"/>
                <w:sz w:val="24"/>
                <w:szCs w:val="24"/>
              </w:rPr>
            </w:pPr>
            <w:r w:rsidRPr="006808DA">
              <w:rPr>
                <w:rFonts w:ascii="Arial" w:hAnsi="Arial" w:cs="Arial"/>
                <w:b/>
                <w:sz w:val="24"/>
                <w:szCs w:val="24"/>
              </w:rPr>
              <w:t xml:space="preserve">Proposal: </w:t>
            </w:r>
            <w:r w:rsidR="00507F97" w:rsidRPr="00507F97">
              <w:rPr>
                <w:rFonts w:ascii="Arial" w:hAnsi="Arial" w:cs="Arial"/>
                <w:sz w:val="24"/>
                <w:szCs w:val="24"/>
              </w:rPr>
              <w:t>To include provisions for choosing an alternative supplier to O</w:t>
            </w:r>
            <w:r>
              <w:rPr>
                <w:rFonts w:ascii="Arial" w:hAnsi="Arial" w:cs="Arial"/>
                <w:sz w:val="24"/>
                <w:szCs w:val="24"/>
              </w:rPr>
              <w:t>xford Direct Services</w:t>
            </w:r>
            <w:r w:rsidR="00507F97" w:rsidRPr="00507F97">
              <w:rPr>
                <w:rFonts w:ascii="Arial" w:hAnsi="Arial" w:cs="Arial"/>
                <w:sz w:val="24"/>
                <w:szCs w:val="24"/>
              </w:rPr>
              <w:t xml:space="preserve"> and the need to have Executive Director sign off to do so</w:t>
            </w:r>
            <w:r w:rsidR="00507F97">
              <w:rPr>
                <w:rFonts w:ascii="Arial" w:hAnsi="Arial" w:cs="Arial"/>
                <w:sz w:val="24"/>
                <w:szCs w:val="24"/>
              </w:rPr>
              <w:t>.</w:t>
            </w:r>
          </w:p>
          <w:p w14:paraId="59E7350F" w14:textId="77777777" w:rsidR="00507F97" w:rsidRDefault="00507F97" w:rsidP="00507F97">
            <w:pPr>
              <w:rPr>
                <w:rFonts w:ascii="Arial" w:hAnsi="Arial" w:cs="Arial"/>
                <w:sz w:val="24"/>
                <w:szCs w:val="24"/>
              </w:rPr>
            </w:pPr>
          </w:p>
          <w:p w14:paraId="4A067BC0" w14:textId="77777777" w:rsidR="00507F97" w:rsidRDefault="006808DA" w:rsidP="00507F97">
            <w:pPr>
              <w:rPr>
                <w:rFonts w:ascii="Arial" w:hAnsi="Arial" w:cs="Arial"/>
                <w:sz w:val="24"/>
                <w:szCs w:val="24"/>
              </w:rPr>
            </w:pPr>
            <w:r w:rsidRPr="006808DA">
              <w:rPr>
                <w:rFonts w:ascii="Arial" w:hAnsi="Arial" w:cs="Arial"/>
                <w:b/>
                <w:sz w:val="24"/>
                <w:szCs w:val="24"/>
              </w:rPr>
              <w:t>Rationale:</w:t>
            </w:r>
            <w:r>
              <w:rPr>
                <w:rFonts w:ascii="Arial" w:hAnsi="Arial" w:cs="Arial"/>
                <w:sz w:val="24"/>
                <w:szCs w:val="24"/>
              </w:rPr>
              <w:t xml:space="preserve"> </w:t>
            </w:r>
            <w:r w:rsidR="00507F97" w:rsidRPr="00507F97">
              <w:rPr>
                <w:rFonts w:ascii="Arial" w:hAnsi="Arial" w:cs="Arial"/>
                <w:sz w:val="24"/>
                <w:szCs w:val="24"/>
              </w:rPr>
              <w:t>To make provisions for where an alternative contractor to ODS needs to be considered</w:t>
            </w:r>
            <w:r w:rsidR="00801E4B">
              <w:rPr>
                <w:rFonts w:ascii="Arial" w:hAnsi="Arial" w:cs="Arial"/>
                <w:sz w:val="24"/>
                <w:szCs w:val="24"/>
              </w:rPr>
              <w:t xml:space="preserve"> for any reason</w:t>
            </w:r>
            <w:r w:rsidR="00507F97" w:rsidRPr="00507F97">
              <w:rPr>
                <w:rFonts w:ascii="Arial" w:hAnsi="Arial" w:cs="Arial"/>
                <w:sz w:val="24"/>
                <w:szCs w:val="24"/>
              </w:rPr>
              <w:t xml:space="preserve"> e.g. capability or capacity.</w:t>
            </w:r>
          </w:p>
          <w:p w14:paraId="75C65362" w14:textId="77777777" w:rsidR="006808DA" w:rsidRDefault="006808DA" w:rsidP="00507F97">
            <w:pPr>
              <w:rPr>
                <w:rFonts w:ascii="Arial" w:hAnsi="Arial" w:cs="Arial"/>
                <w:sz w:val="24"/>
                <w:szCs w:val="24"/>
              </w:rPr>
            </w:pPr>
          </w:p>
          <w:p w14:paraId="592D9144" w14:textId="49CEBD05" w:rsidR="006808DA" w:rsidRPr="006808DA" w:rsidRDefault="006808DA" w:rsidP="00507F97">
            <w:pPr>
              <w:rPr>
                <w:rFonts w:ascii="Arial" w:hAnsi="Arial" w:cs="Arial"/>
                <w:sz w:val="24"/>
                <w:szCs w:val="24"/>
              </w:rPr>
            </w:pPr>
            <w:r>
              <w:rPr>
                <w:rFonts w:ascii="Arial" w:hAnsi="Arial" w:cs="Arial"/>
                <w:b/>
                <w:sz w:val="24"/>
                <w:szCs w:val="24"/>
              </w:rPr>
              <w:lastRenderedPageBreak/>
              <w:t>Background:</w:t>
            </w:r>
            <w:r>
              <w:rPr>
                <w:rFonts w:ascii="Arial" w:hAnsi="Arial" w:cs="Arial"/>
                <w:sz w:val="24"/>
                <w:szCs w:val="24"/>
              </w:rPr>
              <w:t xml:space="preserve"> ODS is the Council’s wholly owned group of companies.</w:t>
            </w:r>
          </w:p>
        </w:tc>
        <w:tc>
          <w:tcPr>
            <w:tcW w:w="6237" w:type="dxa"/>
          </w:tcPr>
          <w:p w14:paraId="658F5B93" w14:textId="61F25D5D" w:rsidR="00021480" w:rsidRPr="006808DA" w:rsidRDefault="006808DA" w:rsidP="00266BFD">
            <w:pPr>
              <w:autoSpaceDE w:val="0"/>
              <w:autoSpaceDN w:val="0"/>
              <w:adjustRightInd w:val="0"/>
              <w:rPr>
                <w:rFonts w:ascii="Arial" w:hAnsi="Arial" w:cs="Arial"/>
                <w:sz w:val="24"/>
                <w:szCs w:val="24"/>
              </w:rPr>
            </w:pPr>
            <w:r>
              <w:rPr>
                <w:rFonts w:ascii="Arial" w:hAnsi="Arial" w:cs="Arial"/>
                <w:sz w:val="24"/>
                <w:szCs w:val="24"/>
              </w:rPr>
              <w:lastRenderedPageBreak/>
              <w:t>…</w:t>
            </w:r>
          </w:p>
          <w:p w14:paraId="3BE5016F" w14:textId="2E971B7A" w:rsidR="00021480" w:rsidRPr="007517F0" w:rsidRDefault="00021480" w:rsidP="007F1BDB">
            <w:pPr>
              <w:autoSpaceDE w:val="0"/>
              <w:autoSpaceDN w:val="0"/>
              <w:adjustRightInd w:val="0"/>
              <w:rPr>
                <w:rFonts w:ascii="Arial" w:hAnsi="Arial" w:cs="Arial"/>
                <w:sz w:val="24"/>
                <w:szCs w:val="24"/>
                <w:u w:val="single"/>
              </w:rPr>
            </w:pPr>
            <w:r w:rsidRPr="007517F0">
              <w:rPr>
                <w:rFonts w:ascii="Arial" w:hAnsi="Arial" w:cs="Arial"/>
                <w:sz w:val="24"/>
                <w:szCs w:val="24"/>
                <w:u w:val="single"/>
              </w:rPr>
              <w:t>Should tendering and procurement of an alternative contractor need to be considered</w:t>
            </w:r>
            <w:r w:rsidR="00D83D37">
              <w:rPr>
                <w:rFonts w:ascii="Arial" w:hAnsi="Arial" w:cs="Arial"/>
                <w:sz w:val="24"/>
                <w:szCs w:val="24"/>
                <w:u w:val="single"/>
              </w:rPr>
              <w:t xml:space="preserve"> for any capital scheme</w:t>
            </w:r>
            <w:r w:rsidRPr="007517F0">
              <w:rPr>
                <w:rFonts w:ascii="Arial" w:hAnsi="Arial" w:cs="Arial"/>
                <w:sz w:val="24"/>
                <w:szCs w:val="24"/>
                <w:u w:val="single"/>
              </w:rPr>
              <w:t>, for whatever</w:t>
            </w:r>
            <w:r>
              <w:rPr>
                <w:rFonts w:ascii="Arial" w:hAnsi="Arial" w:cs="Arial"/>
                <w:sz w:val="24"/>
                <w:szCs w:val="24"/>
                <w:u w:val="single"/>
              </w:rPr>
              <w:t xml:space="preserve"> </w:t>
            </w:r>
            <w:r w:rsidRPr="007517F0">
              <w:rPr>
                <w:rFonts w:ascii="Arial" w:hAnsi="Arial" w:cs="Arial"/>
                <w:sz w:val="24"/>
                <w:szCs w:val="24"/>
                <w:u w:val="single"/>
              </w:rPr>
              <w:t xml:space="preserve">reason, including capability or capacity, this will need the approval of the Executive Director </w:t>
            </w:r>
            <w:r w:rsidR="007F1BDB">
              <w:rPr>
                <w:rFonts w:ascii="Arial" w:hAnsi="Arial" w:cs="Arial"/>
                <w:sz w:val="24"/>
                <w:szCs w:val="24"/>
                <w:u w:val="single"/>
              </w:rPr>
              <w:t xml:space="preserve">of </w:t>
            </w:r>
            <w:r w:rsidRPr="007517F0">
              <w:rPr>
                <w:rFonts w:ascii="Arial" w:hAnsi="Arial" w:cs="Arial"/>
                <w:sz w:val="24"/>
                <w:szCs w:val="24"/>
                <w:u w:val="single"/>
              </w:rPr>
              <w:t>Development, or their delegate.</w:t>
            </w:r>
          </w:p>
        </w:tc>
      </w:tr>
      <w:tr w:rsidR="00021480" w14:paraId="075D7018" w14:textId="77777777" w:rsidTr="00A819BC">
        <w:tc>
          <w:tcPr>
            <w:tcW w:w="568" w:type="dxa"/>
            <w:shd w:val="clear" w:color="auto" w:fill="auto"/>
          </w:tcPr>
          <w:p w14:paraId="38149FCB" w14:textId="1D35C8C1" w:rsidR="00021480" w:rsidRPr="007078C1" w:rsidRDefault="00E972E9" w:rsidP="00D83D37">
            <w:pPr>
              <w:rPr>
                <w:rFonts w:ascii="Arial" w:hAnsi="Arial" w:cs="Arial"/>
                <w:sz w:val="24"/>
                <w:szCs w:val="24"/>
              </w:rPr>
            </w:pPr>
            <w:r>
              <w:rPr>
                <w:rFonts w:ascii="Arial" w:hAnsi="Arial" w:cs="Arial"/>
                <w:sz w:val="24"/>
                <w:szCs w:val="24"/>
              </w:rPr>
              <w:t>14</w:t>
            </w:r>
          </w:p>
        </w:tc>
        <w:tc>
          <w:tcPr>
            <w:tcW w:w="1985" w:type="dxa"/>
            <w:shd w:val="clear" w:color="auto" w:fill="auto"/>
          </w:tcPr>
          <w:p w14:paraId="40A36CC3" w14:textId="170BBB14" w:rsidR="00021480" w:rsidRDefault="00021480" w:rsidP="00900AEF">
            <w:pPr>
              <w:rPr>
                <w:rFonts w:ascii="Arial" w:hAnsi="Arial" w:cs="Arial"/>
                <w:sz w:val="24"/>
                <w:szCs w:val="24"/>
              </w:rPr>
            </w:pPr>
            <w:r w:rsidRPr="00E77065">
              <w:rPr>
                <w:rFonts w:ascii="Arial" w:hAnsi="Arial" w:cs="Arial"/>
                <w:sz w:val="24"/>
                <w:szCs w:val="24"/>
              </w:rPr>
              <w:t>Part 21</w:t>
            </w:r>
            <w:r>
              <w:rPr>
                <w:rFonts w:ascii="Arial" w:hAnsi="Arial" w:cs="Arial"/>
                <w:sz w:val="24"/>
                <w:szCs w:val="24"/>
              </w:rPr>
              <w:t>:</w:t>
            </w:r>
            <w:r w:rsidRPr="00E77065">
              <w:rPr>
                <w:rFonts w:ascii="Arial" w:hAnsi="Arial" w:cs="Arial"/>
                <w:sz w:val="24"/>
                <w:szCs w:val="24"/>
              </w:rPr>
              <w:t xml:space="preserve"> Legal Rules </w:t>
            </w:r>
          </w:p>
          <w:p w14:paraId="58904A7B" w14:textId="04E16D53" w:rsidR="00021480" w:rsidRDefault="00021480" w:rsidP="00900AEF">
            <w:pPr>
              <w:rPr>
                <w:rFonts w:ascii="Arial" w:hAnsi="Arial" w:cs="Arial"/>
                <w:sz w:val="24"/>
                <w:szCs w:val="24"/>
              </w:rPr>
            </w:pPr>
          </w:p>
          <w:p w14:paraId="572BBAFB" w14:textId="77777777" w:rsidR="00021480" w:rsidRPr="00C02499" w:rsidRDefault="00021480" w:rsidP="00C02499">
            <w:pPr>
              <w:jc w:val="center"/>
              <w:rPr>
                <w:rFonts w:ascii="Arial" w:hAnsi="Arial" w:cs="Arial"/>
                <w:sz w:val="24"/>
                <w:szCs w:val="24"/>
              </w:rPr>
            </w:pPr>
          </w:p>
        </w:tc>
        <w:tc>
          <w:tcPr>
            <w:tcW w:w="6095" w:type="dxa"/>
          </w:tcPr>
          <w:p w14:paraId="32864220" w14:textId="06D6E8AE" w:rsidR="00021480" w:rsidRDefault="00B46E43" w:rsidP="00900AEF">
            <w:pPr>
              <w:rPr>
                <w:rFonts w:ascii="Arial" w:hAnsi="Arial" w:cs="Arial"/>
                <w:sz w:val="24"/>
                <w:szCs w:val="24"/>
              </w:rPr>
            </w:pPr>
            <w:r w:rsidRPr="006808DA">
              <w:rPr>
                <w:rFonts w:ascii="Arial" w:hAnsi="Arial" w:cs="Arial"/>
                <w:b/>
                <w:sz w:val="24"/>
                <w:szCs w:val="24"/>
              </w:rPr>
              <w:t xml:space="preserve">Proposal: </w:t>
            </w:r>
            <w:r w:rsidR="00021480" w:rsidRPr="00E77065">
              <w:rPr>
                <w:rFonts w:ascii="Arial" w:hAnsi="Arial" w:cs="Arial"/>
                <w:sz w:val="24"/>
                <w:szCs w:val="24"/>
              </w:rPr>
              <w:t xml:space="preserve">To include a specific authorisation to </w:t>
            </w:r>
            <w:r w:rsidR="00021480">
              <w:rPr>
                <w:rFonts w:ascii="Arial" w:hAnsi="Arial" w:cs="Arial"/>
                <w:sz w:val="24"/>
                <w:szCs w:val="24"/>
              </w:rPr>
              <w:t xml:space="preserve">the Head of Law and Governance to </w:t>
            </w:r>
            <w:r w:rsidR="00021480" w:rsidRPr="00E77065">
              <w:rPr>
                <w:rFonts w:ascii="Arial" w:hAnsi="Arial" w:cs="Arial"/>
                <w:sz w:val="24"/>
                <w:szCs w:val="24"/>
              </w:rPr>
              <w:t>settle legal proceedings.</w:t>
            </w:r>
          </w:p>
          <w:p w14:paraId="63A39F9D" w14:textId="77777777" w:rsidR="00021480" w:rsidRDefault="00021480" w:rsidP="00064EA3">
            <w:pPr>
              <w:rPr>
                <w:rFonts w:ascii="Arial" w:hAnsi="Arial" w:cs="Arial"/>
                <w:sz w:val="24"/>
                <w:szCs w:val="24"/>
              </w:rPr>
            </w:pPr>
          </w:p>
        </w:tc>
        <w:tc>
          <w:tcPr>
            <w:tcW w:w="6237" w:type="dxa"/>
          </w:tcPr>
          <w:p w14:paraId="6824FF75" w14:textId="77777777" w:rsidR="00021480" w:rsidRDefault="00021480" w:rsidP="00B15969">
            <w:pPr>
              <w:autoSpaceDE w:val="0"/>
              <w:autoSpaceDN w:val="0"/>
              <w:adjustRightInd w:val="0"/>
              <w:rPr>
                <w:rFonts w:ascii="Arial Bold,Bold" w:hAnsi="Arial Bold,Bold" w:cs="Arial Bold,Bold"/>
                <w:b/>
                <w:bCs/>
                <w:sz w:val="24"/>
                <w:szCs w:val="24"/>
              </w:rPr>
            </w:pPr>
            <w:r>
              <w:rPr>
                <w:rFonts w:ascii="Arial Bold,Bold" w:hAnsi="Arial Bold,Bold" w:cs="Arial Bold,Bold"/>
                <w:b/>
                <w:bCs/>
                <w:sz w:val="24"/>
                <w:szCs w:val="24"/>
              </w:rPr>
              <w:t>21.1 Legal officers</w:t>
            </w:r>
          </w:p>
          <w:p w14:paraId="335458B5" w14:textId="1444D541" w:rsidR="00021480" w:rsidRDefault="00021480" w:rsidP="00B15969">
            <w:pPr>
              <w:autoSpaceDE w:val="0"/>
              <w:autoSpaceDN w:val="0"/>
              <w:adjustRightInd w:val="0"/>
              <w:rPr>
                <w:rFonts w:ascii="Arial" w:hAnsi="Arial" w:cs="Arial"/>
                <w:sz w:val="24"/>
                <w:szCs w:val="24"/>
              </w:rPr>
            </w:pPr>
            <w:r>
              <w:rPr>
                <w:rFonts w:ascii="Arial" w:hAnsi="Arial" w:cs="Arial"/>
                <w:sz w:val="24"/>
                <w:szCs w:val="24"/>
              </w:rPr>
              <w:t>The Head of Law and Governance can take any legal action necessary to carry out the Council’s decisions or protect its interests. This will include:</w:t>
            </w:r>
          </w:p>
          <w:p w14:paraId="59658580" w14:textId="77777777" w:rsidR="00021480" w:rsidRDefault="00021480" w:rsidP="00B15969">
            <w:pPr>
              <w:pStyle w:val="ListParagraph"/>
              <w:numPr>
                <w:ilvl w:val="0"/>
                <w:numId w:val="15"/>
              </w:numPr>
              <w:autoSpaceDE w:val="0"/>
              <w:autoSpaceDN w:val="0"/>
              <w:adjustRightInd w:val="0"/>
              <w:rPr>
                <w:rFonts w:ascii="Arial" w:hAnsi="Arial" w:cs="Arial"/>
                <w:sz w:val="24"/>
                <w:szCs w:val="24"/>
              </w:rPr>
            </w:pPr>
            <w:r w:rsidRPr="00B15969">
              <w:rPr>
                <w:rFonts w:ascii="Arial" w:hAnsi="Arial" w:cs="Arial"/>
                <w:sz w:val="24"/>
                <w:szCs w:val="24"/>
              </w:rPr>
              <w:t>to prosecute, defend, make application, serve any notice or appear on behalf of</w:t>
            </w:r>
            <w:r>
              <w:rPr>
                <w:rFonts w:ascii="Arial" w:hAnsi="Arial" w:cs="Arial"/>
                <w:sz w:val="24"/>
                <w:szCs w:val="24"/>
              </w:rPr>
              <w:t xml:space="preserve"> </w:t>
            </w:r>
            <w:r w:rsidRPr="00B15969">
              <w:rPr>
                <w:rFonts w:ascii="Arial" w:hAnsi="Arial" w:cs="Arial"/>
                <w:sz w:val="24"/>
                <w:szCs w:val="24"/>
              </w:rPr>
              <w:t>the Council in any court, tribunal or hearing on any criminal, civil or other matter</w:t>
            </w:r>
            <w:r>
              <w:rPr>
                <w:rFonts w:ascii="Arial" w:hAnsi="Arial" w:cs="Arial"/>
                <w:sz w:val="24"/>
                <w:szCs w:val="24"/>
              </w:rPr>
              <w:t xml:space="preserve"> </w:t>
            </w:r>
            <w:r w:rsidRPr="00B15969">
              <w:rPr>
                <w:rFonts w:ascii="Arial" w:hAnsi="Arial" w:cs="Arial"/>
                <w:sz w:val="24"/>
                <w:szCs w:val="24"/>
              </w:rPr>
              <w:t>(including appeals);</w:t>
            </w:r>
          </w:p>
          <w:p w14:paraId="12D7ACCA" w14:textId="77777777" w:rsidR="00CE408D" w:rsidRDefault="00021480" w:rsidP="00B15969">
            <w:pPr>
              <w:pStyle w:val="ListParagraph"/>
              <w:numPr>
                <w:ilvl w:val="0"/>
                <w:numId w:val="15"/>
              </w:numPr>
              <w:autoSpaceDE w:val="0"/>
              <w:autoSpaceDN w:val="0"/>
              <w:adjustRightInd w:val="0"/>
              <w:rPr>
                <w:rFonts w:ascii="Arial" w:hAnsi="Arial" w:cs="Arial"/>
                <w:sz w:val="24"/>
                <w:szCs w:val="24"/>
                <w:u w:val="single"/>
              </w:rPr>
            </w:pPr>
            <w:r w:rsidRPr="00B15969">
              <w:rPr>
                <w:rFonts w:ascii="Arial" w:hAnsi="Arial" w:cs="Arial"/>
                <w:sz w:val="24"/>
                <w:szCs w:val="24"/>
                <w:u w:val="single"/>
              </w:rPr>
              <w:t>to settle any proceedings</w:t>
            </w:r>
          </w:p>
          <w:p w14:paraId="172F29A5" w14:textId="54ECF220" w:rsidR="00CE408D" w:rsidRPr="00AA49D7" w:rsidRDefault="00CE408D" w:rsidP="00417FEC">
            <w:pPr>
              <w:pStyle w:val="ListParagraph"/>
              <w:numPr>
                <w:ilvl w:val="0"/>
                <w:numId w:val="15"/>
              </w:numPr>
              <w:autoSpaceDE w:val="0"/>
              <w:autoSpaceDN w:val="0"/>
              <w:adjustRightInd w:val="0"/>
              <w:rPr>
                <w:rFonts w:ascii="Arial" w:hAnsi="Arial" w:cs="Arial"/>
                <w:sz w:val="24"/>
                <w:szCs w:val="24"/>
                <w:u w:val="single"/>
              </w:rPr>
            </w:pPr>
            <w:proofErr w:type="gramStart"/>
            <w:r>
              <w:rPr>
                <w:rFonts w:ascii="Arial" w:hAnsi="Arial" w:cs="Arial"/>
                <w:sz w:val="24"/>
                <w:szCs w:val="24"/>
                <w:u w:val="single"/>
              </w:rPr>
              <w:t>to</w:t>
            </w:r>
            <w:proofErr w:type="gramEnd"/>
            <w:r>
              <w:rPr>
                <w:rFonts w:ascii="Arial" w:hAnsi="Arial" w:cs="Arial"/>
                <w:sz w:val="24"/>
                <w:szCs w:val="24"/>
                <w:u w:val="single"/>
              </w:rPr>
              <w:t xml:space="preserve"> instruct </w:t>
            </w:r>
            <w:r w:rsidRPr="00CE408D">
              <w:rPr>
                <w:rFonts w:ascii="Arial" w:hAnsi="Arial" w:cs="Arial"/>
                <w:sz w:val="24"/>
                <w:szCs w:val="24"/>
                <w:u w:val="single"/>
              </w:rPr>
              <w:t>external legal</w:t>
            </w:r>
            <w:r w:rsidR="00021480" w:rsidRPr="00CE408D">
              <w:rPr>
                <w:rFonts w:ascii="Arial" w:hAnsi="Arial" w:cs="Arial"/>
                <w:sz w:val="24"/>
                <w:szCs w:val="24"/>
                <w:u w:val="single"/>
              </w:rPr>
              <w:t xml:space="preserve"> </w:t>
            </w:r>
            <w:r w:rsidRPr="00CE408D">
              <w:rPr>
                <w:rFonts w:ascii="Arial" w:hAnsi="Arial" w:cs="Arial"/>
                <w:sz w:val="24"/>
                <w:szCs w:val="24"/>
                <w:u w:val="single"/>
              </w:rPr>
              <w:t>advisors</w:t>
            </w:r>
            <w:r w:rsidR="00021480" w:rsidRPr="00AA49D7">
              <w:rPr>
                <w:rFonts w:ascii="Arial" w:hAnsi="Arial" w:cs="Arial"/>
                <w:sz w:val="24"/>
                <w:szCs w:val="24"/>
              </w:rPr>
              <w:t>…</w:t>
            </w:r>
          </w:p>
        </w:tc>
      </w:tr>
    </w:tbl>
    <w:p w14:paraId="6B4962E0" w14:textId="77777777" w:rsidR="00353D50" w:rsidRPr="00E77065" w:rsidRDefault="00353D50" w:rsidP="00D83D37">
      <w:pPr>
        <w:rPr>
          <w:rFonts w:ascii="Arial" w:hAnsi="Arial" w:cs="Arial"/>
          <w:sz w:val="24"/>
          <w:szCs w:val="24"/>
        </w:rPr>
      </w:pPr>
      <w:bookmarkStart w:id="1" w:name="_GoBack"/>
      <w:bookmarkEnd w:id="1"/>
    </w:p>
    <w:sectPr w:rsidR="00353D50" w:rsidRPr="00E77065" w:rsidSect="008D4173">
      <w:headerReference w:type="default" r:id="rId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7D91" w14:textId="77777777" w:rsidR="009C1365" w:rsidRDefault="009C1365" w:rsidP="004A5AD2">
      <w:pPr>
        <w:spacing w:after="0" w:line="240" w:lineRule="auto"/>
      </w:pPr>
      <w:r>
        <w:separator/>
      </w:r>
    </w:p>
  </w:endnote>
  <w:endnote w:type="continuationSeparator" w:id="0">
    <w:p w14:paraId="091230AB" w14:textId="77777777" w:rsidR="009C1365" w:rsidRDefault="009C1365" w:rsidP="004A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9AE0" w14:textId="77777777" w:rsidR="009C1365" w:rsidRDefault="009C1365" w:rsidP="004A5AD2">
      <w:pPr>
        <w:spacing w:after="0" w:line="240" w:lineRule="auto"/>
      </w:pPr>
      <w:r>
        <w:separator/>
      </w:r>
    </w:p>
  </w:footnote>
  <w:footnote w:type="continuationSeparator" w:id="0">
    <w:p w14:paraId="29D5DDD4" w14:textId="77777777" w:rsidR="009C1365" w:rsidRDefault="009C1365" w:rsidP="004A5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E687B" w14:textId="4B2A358D" w:rsidR="005B3049" w:rsidRDefault="00021480">
    <w:pPr>
      <w:pStyle w:val="Header"/>
    </w:pPr>
    <w:r>
      <w:t xml:space="preserve">Appendix 1 – </w:t>
    </w:r>
    <w:r w:rsidR="00A807A2" w:rsidRPr="00A807A2">
      <w:t>proposals to change aspects of the Council’s governance arrangements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84"/>
    <w:multiLevelType w:val="hybridMultilevel"/>
    <w:tmpl w:val="650011EA"/>
    <w:lvl w:ilvl="0" w:tplc="D74C17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758F"/>
    <w:multiLevelType w:val="hybridMultilevel"/>
    <w:tmpl w:val="8348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C1E35"/>
    <w:multiLevelType w:val="multilevel"/>
    <w:tmpl w:val="02A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13F98"/>
    <w:multiLevelType w:val="hybridMultilevel"/>
    <w:tmpl w:val="7C901EF0"/>
    <w:lvl w:ilvl="0" w:tplc="BB10E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4C61F2"/>
    <w:multiLevelType w:val="multilevel"/>
    <w:tmpl w:val="4DC888A0"/>
    <w:lvl w:ilvl="0">
      <w:start w:val="19"/>
      <w:numFmt w:val="decimal"/>
      <w:lvlText w:val="%1"/>
      <w:lvlJc w:val="left"/>
      <w:pPr>
        <w:ind w:left="600" w:hanging="600"/>
      </w:pPr>
      <w:rPr>
        <w:rFonts w:hint="default"/>
      </w:rPr>
    </w:lvl>
    <w:lvl w:ilvl="1">
      <w:start w:val="12"/>
      <w:numFmt w:val="decimal"/>
      <w:lvlText w:val="%1.%2"/>
      <w:lvlJc w:val="left"/>
      <w:pPr>
        <w:ind w:left="600" w:hanging="60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487456"/>
    <w:multiLevelType w:val="hybridMultilevel"/>
    <w:tmpl w:val="A2DA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A0C17"/>
    <w:multiLevelType w:val="hybridMultilevel"/>
    <w:tmpl w:val="FA9CC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8B42A1"/>
    <w:multiLevelType w:val="hybridMultilevel"/>
    <w:tmpl w:val="8D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B425A"/>
    <w:multiLevelType w:val="hybridMultilevel"/>
    <w:tmpl w:val="9A5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64E9F"/>
    <w:multiLevelType w:val="hybridMultilevel"/>
    <w:tmpl w:val="CB60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F693A"/>
    <w:multiLevelType w:val="hybridMultilevel"/>
    <w:tmpl w:val="5AA27D22"/>
    <w:lvl w:ilvl="0" w:tplc="3D1231AE">
      <w:numFmt w:val="bullet"/>
      <w:lvlText w:val=""/>
      <w:lvlJc w:val="left"/>
      <w:pPr>
        <w:ind w:left="470" w:hanging="1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DCE"/>
    <w:multiLevelType w:val="hybridMultilevel"/>
    <w:tmpl w:val="B88C84C0"/>
    <w:lvl w:ilvl="0" w:tplc="A4BADD7E">
      <w:numFmt w:val="bullet"/>
      <w:lvlText w:val=""/>
      <w:lvlJc w:val="left"/>
      <w:pPr>
        <w:ind w:left="470" w:hanging="11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80865"/>
    <w:multiLevelType w:val="hybridMultilevel"/>
    <w:tmpl w:val="AEB4B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7F7BDA"/>
    <w:multiLevelType w:val="hybridMultilevel"/>
    <w:tmpl w:val="53D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85668"/>
    <w:multiLevelType w:val="hybridMultilevel"/>
    <w:tmpl w:val="2450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B03E3"/>
    <w:multiLevelType w:val="hybridMultilevel"/>
    <w:tmpl w:val="8DE8A0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52087"/>
    <w:multiLevelType w:val="hybridMultilevel"/>
    <w:tmpl w:val="2AF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15E1C"/>
    <w:multiLevelType w:val="hybridMultilevel"/>
    <w:tmpl w:val="305E0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B1661A"/>
    <w:multiLevelType w:val="hybridMultilevel"/>
    <w:tmpl w:val="774C0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B857C6"/>
    <w:multiLevelType w:val="hybridMultilevel"/>
    <w:tmpl w:val="70A02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4"/>
  </w:num>
  <w:num w:numId="4">
    <w:abstractNumId w:val="19"/>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0"/>
  </w:num>
  <w:num w:numId="10">
    <w:abstractNumId w:val="6"/>
  </w:num>
  <w:num w:numId="11">
    <w:abstractNumId w:val="10"/>
  </w:num>
  <w:num w:numId="12">
    <w:abstractNumId w:val="11"/>
  </w:num>
  <w:num w:numId="13">
    <w:abstractNumId w:val="15"/>
  </w:num>
  <w:num w:numId="14">
    <w:abstractNumId w:val="12"/>
  </w:num>
  <w:num w:numId="15">
    <w:abstractNumId w:val="9"/>
  </w:num>
  <w:num w:numId="16">
    <w:abstractNumId w:val="4"/>
  </w:num>
  <w:num w:numId="17">
    <w:abstractNumId w:val="20"/>
  </w:num>
  <w:num w:numId="18">
    <w:abstractNumId w:val="13"/>
  </w:num>
  <w:num w:numId="19">
    <w:abstractNumId w:val="2"/>
  </w:num>
  <w:num w:numId="20">
    <w:abstractNumId w:val="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6B"/>
    <w:rsid w:val="00013DEE"/>
    <w:rsid w:val="0001645D"/>
    <w:rsid w:val="00021480"/>
    <w:rsid w:val="00041DDB"/>
    <w:rsid w:val="00064EA3"/>
    <w:rsid w:val="00066BFF"/>
    <w:rsid w:val="000B2198"/>
    <w:rsid w:val="000D0ACF"/>
    <w:rsid w:val="000E62CF"/>
    <w:rsid w:val="000F25F3"/>
    <w:rsid w:val="00140E7B"/>
    <w:rsid w:val="0014259F"/>
    <w:rsid w:val="00156185"/>
    <w:rsid w:val="001904C9"/>
    <w:rsid w:val="001C5AFD"/>
    <w:rsid w:val="002074E2"/>
    <w:rsid w:val="002375CA"/>
    <w:rsid w:val="0025136F"/>
    <w:rsid w:val="00253C4C"/>
    <w:rsid w:val="00266BFD"/>
    <w:rsid w:val="002716A0"/>
    <w:rsid w:val="00286D41"/>
    <w:rsid w:val="002875AA"/>
    <w:rsid w:val="002B04FE"/>
    <w:rsid w:val="002B0FCB"/>
    <w:rsid w:val="00340AC1"/>
    <w:rsid w:val="00350778"/>
    <w:rsid w:val="00353D50"/>
    <w:rsid w:val="003619FE"/>
    <w:rsid w:val="00382D23"/>
    <w:rsid w:val="003906D2"/>
    <w:rsid w:val="003979B5"/>
    <w:rsid w:val="003B32D0"/>
    <w:rsid w:val="003E716B"/>
    <w:rsid w:val="003F0105"/>
    <w:rsid w:val="00407748"/>
    <w:rsid w:val="0041053E"/>
    <w:rsid w:val="00417FEC"/>
    <w:rsid w:val="00461FDC"/>
    <w:rsid w:val="004649E6"/>
    <w:rsid w:val="00477787"/>
    <w:rsid w:val="00480311"/>
    <w:rsid w:val="00495325"/>
    <w:rsid w:val="004A1DEB"/>
    <w:rsid w:val="004A5397"/>
    <w:rsid w:val="004A5AD2"/>
    <w:rsid w:val="004B12B2"/>
    <w:rsid w:val="004B22A8"/>
    <w:rsid w:val="004C2071"/>
    <w:rsid w:val="005008AA"/>
    <w:rsid w:val="005070A4"/>
    <w:rsid w:val="00507F97"/>
    <w:rsid w:val="005115A5"/>
    <w:rsid w:val="005334FE"/>
    <w:rsid w:val="00552E61"/>
    <w:rsid w:val="00580669"/>
    <w:rsid w:val="0059428B"/>
    <w:rsid w:val="00596629"/>
    <w:rsid w:val="005B3049"/>
    <w:rsid w:val="005D2A6C"/>
    <w:rsid w:val="005D39AF"/>
    <w:rsid w:val="005D5253"/>
    <w:rsid w:val="005F0B51"/>
    <w:rsid w:val="00613D6B"/>
    <w:rsid w:val="006200F5"/>
    <w:rsid w:val="0063559A"/>
    <w:rsid w:val="00653C6F"/>
    <w:rsid w:val="00671C99"/>
    <w:rsid w:val="00676122"/>
    <w:rsid w:val="00676A05"/>
    <w:rsid w:val="006808DA"/>
    <w:rsid w:val="00687645"/>
    <w:rsid w:val="00692CAE"/>
    <w:rsid w:val="006A553D"/>
    <w:rsid w:val="006A6A5F"/>
    <w:rsid w:val="006B2159"/>
    <w:rsid w:val="006C759C"/>
    <w:rsid w:val="006D1291"/>
    <w:rsid w:val="007078C1"/>
    <w:rsid w:val="00714EB4"/>
    <w:rsid w:val="00740748"/>
    <w:rsid w:val="007517F0"/>
    <w:rsid w:val="00766A2C"/>
    <w:rsid w:val="00767AF4"/>
    <w:rsid w:val="00780463"/>
    <w:rsid w:val="00792517"/>
    <w:rsid w:val="00797585"/>
    <w:rsid w:val="007A2514"/>
    <w:rsid w:val="007A3F5A"/>
    <w:rsid w:val="007B084D"/>
    <w:rsid w:val="007B5981"/>
    <w:rsid w:val="007E407C"/>
    <w:rsid w:val="007F1BDB"/>
    <w:rsid w:val="00801E4B"/>
    <w:rsid w:val="008170D9"/>
    <w:rsid w:val="008348D8"/>
    <w:rsid w:val="00871527"/>
    <w:rsid w:val="00895E73"/>
    <w:rsid w:val="008A2010"/>
    <w:rsid w:val="008B62B1"/>
    <w:rsid w:val="008C0B09"/>
    <w:rsid w:val="008C7BC1"/>
    <w:rsid w:val="008C7D47"/>
    <w:rsid w:val="008D4173"/>
    <w:rsid w:val="008D703E"/>
    <w:rsid w:val="008E5718"/>
    <w:rsid w:val="008F7B8D"/>
    <w:rsid w:val="00900AEF"/>
    <w:rsid w:val="009010C3"/>
    <w:rsid w:val="00927B78"/>
    <w:rsid w:val="009550EA"/>
    <w:rsid w:val="009621ED"/>
    <w:rsid w:val="00991EAB"/>
    <w:rsid w:val="009C1365"/>
    <w:rsid w:val="009C2F9A"/>
    <w:rsid w:val="009C40DD"/>
    <w:rsid w:val="009C426B"/>
    <w:rsid w:val="009D0556"/>
    <w:rsid w:val="009D351C"/>
    <w:rsid w:val="00A00AFD"/>
    <w:rsid w:val="00A10F50"/>
    <w:rsid w:val="00A110CA"/>
    <w:rsid w:val="00A11B4F"/>
    <w:rsid w:val="00A332A8"/>
    <w:rsid w:val="00A337CC"/>
    <w:rsid w:val="00A44996"/>
    <w:rsid w:val="00A53F6F"/>
    <w:rsid w:val="00A55D58"/>
    <w:rsid w:val="00A56B94"/>
    <w:rsid w:val="00A807A2"/>
    <w:rsid w:val="00A819BC"/>
    <w:rsid w:val="00A83FB3"/>
    <w:rsid w:val="00A85F7A"/>
    <w:rsid w:val="00A91297"/>
    <w:rsid w:val="00AA3B87"/>
    <w:rsid w:val="00AA49D7"/>
    <w:rsid w:val="00AA4BFC"/>
    <w:rsid w:val="00AB56CB"/>
    <w:rsid w:val="00B068EE"/>
    <w:rsid w:val="00B15969"/>
    <w:rsid w:val="00B27490"/>
    <w:rsid w:val="00B369D5"/>
    <w:rsid w:val="00B46A71"/>
    <w:rsid w:val="00B46A93"/>
    <w:rsid w:val="00B46E43"/>
    <w:rsid w:val="00B76C11"/>
    <w:rsid w:val="00BA0CB6"/>
    <w:rsid w:val="00BC583A"/>
    <w:rsid w:val="00BD3428"/>
    <w:rsid w:val="00BF13E5"/>
    <w:rsid w:val="00BF4BD2"/>
    <w:rsid w:val="00BF4DF9"/>
    <w:rsid w:val="00C02499"/>
    <w:rsid w:val="00C365FC"/>
    <w:rsid w:val="00C435A7"/>
    <w:rsid w:val="00C43AD4"/>
    <w:rsid w:val="00C65AE6"/>
    <w:rsid w:val="00CA767D"/>
    <w:rsid w:val="00CD17B5"/>
    <w:rsid w:val="00CE408D"/>
    <w:rsid w:val="00CE4B04"/>
    <w:rsid w:val="00CF44E7"/>
    <w:rsid w:val="00D07D83"/>
    <w:rsid w:val="00D10B39"/>
    <w:rsid w:val="00D1288A"/>
    <w:rsid w:val="00D244C1"/>
    <w:rsid w:val="00D2513B"/>
    <w:rsid w:val="00D27906"/>
    <w:rsid w:val="00D316E3"/>
    <w:rsid w:val="00D55185"/>
    <w:rsid w:val="00D57C41"/>
    <w:rsid w:val="00D61011"/>
    <w:rsid w:val="00D66418"/>
    <w:rsid w:val="00D719D2"/>
    <w:rsid w:val="00D83D37"/>
    <w:rsid w:val="00D85363"/>
    <w:rsid w:val="00D92661"/>
    <w:rsid w:val="00DA3642"/>
    <w:rsid w:val="00DA7942"/>
    <w:rsid w:val="00DB1C29"/>
    <w:rsid w:val="00DF5207"/>
    <w:rsid w:val="00DF6E6F"/>
    <w:rsid w:val="00E04EE2"/>
    <w:rsid w:val="00E12B3A"/>
    <w:rsid w:val="00E147E0"/>
    <w:rsid w:val="00E20460"/>
    <w:rsid w:val="00E50DAF"/>
    <w:rsid w:val="00E56A91"/>
    <w:rsid w:val="00E60F10"/>
    <w:rsid w:val="00E6183B"/>
    <w:rsid w:val="00E637AF"/>
    <w:rsid w:val="00E66D62"/>
    <w:rsid w:val="00E746D9"/>
    <w:rsid w:val="00E77065"/>
    <w:rsid w:val="00E770EF"/>
    <w:rsid w:val="00E80738"/>
    <w:rsid w:val="00E8471E"/>
    <w:rsid w:val="00E91018"/>
    <w:rsid w:val="00E941B7"/>
    <w:rsid w:val="00E972E9"/>
    <w:rsid w:val="00ED750D"/>
    <w:rsid w:val="00EE2EC7"/>
    <w:rsid w:val="00EF63D6"/>
    <w:rsid w:val="00F11A9B"/>
    <w:rsid w:val="00F21C2F"/>
    <w:rsid w:val="00F31E81"/>
    <w:rsid w:val="00F55F57"/>
    <w:rsid w:val="00F60936"/>
    <w:rsid w:val="00F847A8"/>
    <w:rsid w:val="00FA71F2"/>
    <w:rsid w:val="00FB173B"/>
    <w:rsid w:val="00FD36A3"/>
    <w:rsid w:val="00FE68D2"/>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8C66"/>
  <w15:chartTrackingRefBased/>
  <w15:docId w15:val="{F6640E16-6281-40DD-ACE0-6C53D362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bHeader"/>
    <w:basedOn w:val="Normal"/>
    <w:next w:val="Normal"/>
    <w:link w:val="Heading2Char"/>
    <w:qFormat/>
    <w:rsid w:val="004B12B2"/>
    <w:pPr>
      <w:numPr>
        <w:numId w:val="16"/>
      </w:numPr>
      <w:tabs>
        <w:tab w:val="left" w:pos="567"/>
      </w:tabs>
      <w:spacing w:before="240" w:after="240" w:line="240" w:lineRule="auto"/>
      <w:ind w:left="567" w:hanging="709"/>
      <w:outlineLvl w:val="1"/>
    </w:pPr>
    <w:rPr>
      <w:rFonts w:ascii="Arial Bold" w:eastAsia="Times New Roman" w:hAnsi="Arial Bold"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2CF"/>
    <w:pPr>
      <w:ind w:left="720"/>
      <w:contextualSpacing/>
    </w:pPr>
  </w:style>
  <w:style w:type="paragraph" w:styleId="Header">
    <w:name w:val="header"/>
    <w:basedOn w:val="Normal"/>
    <w:link w:val="HeaderChar"/>
    <w:uiPriority w:val="99"/>
    <w:unhideWhenUsed/>
    <w:rsid w:val="004A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D2"/>
  </w:style>
  <w:style w:type="paragraph" w:styleId="Footer">
    <w:name w:val="footer"/>
    <w:basedOn w:val="Normal"/>
    <w:link w:val="FooterChar"/>
    <w:uiPriority w:val="99"/>
    <w:unhideWhenUsed/>
    <w:rsid w:val="004A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AD2"/>
  </w:style>
  <w:style w:type="character" w:styleId="CommentReference">
    <w:name w:val="annotation reference"/>
    <w:basedOn w:val="DefaultParagraphFont"/>
    <w:uiPriority w:val="99"/>
    <w:semiHidden/>
    <w:unhideWhenUsed/>
    <w:rsid w:val="00480311"/>
    <w:rPr>
      <w:sz w:val="16"/>
      <w:szCs w:val="16"/>
    </w:rPr>
  </w:style>
  <w:style w:type="paragraph" w:styleId="CommentText">
    <w:name w:val="annotation text"/>
    <w:basedOn w:val="Normal"/>
    <w:link w:val="CommentTextChar"/>
    <w:uiPriority w:val="99"/>
    <w:semiHidden/>
    <w:unhideWhenUsed/>
    <w:rsid w:val="00480311"/>
    <w:pPr>
      <w:spacing w:line="240" w:lineRule="auto"/>
    </w:pPr>
    <w:rPr>
      <w:sz w:val="20"/>
      <w:szCs w:val="20"/>
    </w:rPr>
  </w:style>
  <w:style w:type="character" w:customStyle="1" w:styleId="CommentTextChar">
    <w:name w:val="Comment Text Char"/>
    <w:basedOn w:val="DefaultParagraphFont"/>
    <w:link w:val="CommentText"/>
    <w:uiPriority w:val="99"/>
    <w:semiHidden/>
    <w:rsid w:val="00480311"/>
    <w:rPr>
      <w:sz w:val="20"/>
      <w:szCs w:val="20"/>
    </w:rPr>
  </w:style>
  <w:style w:type="paragraph" w:styleId="CommentSubject">
    <w:name w:val="annotation subject"/>
    <w:basedOn w:val="CommentText"/>
    <w:next w:val="CommentText"/>
    <w:link w:val="CommentSubjectChar"/>
    <w:uiPriority w:val="99"/>
    <w:semiHidden/>
    <w:unhideWhenUsed/>
    <w:rsid w:val="00480311"/>
    <w:rPr>
      <w:b/>
      <w:bCs/>
    </w:rPr>
  </w:style>
  <w:style w:type="character" w:customStyle="1" w:styleId="CommentSubjectChar">
    <w:name w:val="Comment Subject Char"/>
    <w:basedOn w:val="CommentTextChar"/>
    <w:link w:val="CommentSubject"/>
    <w:uiPriority w:val="99"/>
    <w:semiHidden/>
    <w:rsid w:val="00480311"/>
    <w:rPr>
      <w:b/>
      <w:bCs/>
      <w:sz w:val="20"/>
      <w:szCs w:val="20"/>
    </w:rPr>
  </w:style>
  <w:style w:type="paragraph" w:styleId="BalloonText">
    <w:name w:val="Balloon Text"/>
    <w:basedOn w:val="Normal"/>
    <w:link w:val="BalloonTextChar"/>
    <w:uiPriority w:val="99"/>
    <w:semiHidden/>
    <w:unhideWhenUsed/>
    <w:rsid w:val="0048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11"/>
    <w:rPr>
      <w:rFonts w:ascii="Segoe UI" w:hAnsi="Segoe UI" w:cs="Segoe UI"/>
      <w:sz w:val="18"/>
      <w:szCs w:val="18"/>
    </w:rPr>
  </w:style>
  <w:style w:type="paragraph" w:customStyle="1" w:styleId="dNormParatext">
    <w:name w:val="dNormPara text"/>
    <w:basedOn w:val="Normal"/>
    <w:link w:val="dNormParatextChar"/>
    <w:qFormat/>
    <w:rsid w:val="004B12B2"/>
    <w:pPr>
      <w:spacing w:after="120" w:line="240" w:lineRule="auto"/>
      <w:ind w:left="567"/>
    </w:pPr>
    <w:rPr>
      <w:rFonts w:ascii="Arial" w:eastAsia="Times New Roman" w:hAnsi="Arial" w:cs="Times New Roman"/>
      <w:sz w:val="24"/>
      <w:szCs w:val="24"/>
    </w:rPr>
  </w:style>
  <w:style w:type="character" w:customStyle="1" w:styleId="dNormParatextChar">
    <w:name w:val="dNormPara text Char"/>
    <w:link w:val="dNormParatext"/>
    <w:rsid w:val="004B12B2"/>
    <w:rPr>
      <w:rFonts w:ascii="Arial" w:eastAsia="Times New Roman" w:hAnsi="Arial" w:cs="Times New Roman"/>
      <w:sz w:val="24"/>
      <w:szCs w:val="24"/>
    </w:rPr>
  </w:style>
  <w:style w:type="character" w:customStyle="1" w:styleId="Heading2Char">
    <w:name w:val="Heading 2 Char"/>
    <w:aliases w:val="bHeader Char"/>
    <w:basedOn w:val="DefaultParagraphFont"/>
    <w:link w:val="Heading2"/>
    <w:rsid w:val="004B12B2"/>
    <w:rPr>
      <w:rFonts w:ascii="Arial Bold" w:eastAsia="Times New Roman" w:hAnsi="Arial Bold" w:cs="Arial"/>
      <w:b/>
      <w:bCs/>
      <w:kern w:val="32"/>
      <w:sz w:val="24"/>
      <w:szCs w:val="24"/>
    </w:rPr>
  </w:style>
  <w:style w:type="paragraph" w:styleId="Revision">
    <w:name w:val="Revision"/>
    <w:hidden/>
    <w:uiPriority w:val="99"/>
    <w:semiHidden/>
    <w:rsid w:val="00DB1C29"/>
    <w:pPr>
      <w:spacing w:after="0" w:line="240" w:lineRule="auto"/>
    </w:pPr>
  </w:style>
  <w:style w:type="character" w:styleId="Hyperlink">
    <w:name w:val="Hyperlink"/>
    <w:basedOn w:val="DefaultParagraphFont"/>
    <w:uiPriority w:val="99"/>
    <w:unhideWhenUsed/>
    <w:rsid w:val="00801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8518">
      <w:bodyDiv w:val="1"/>
      <w:marLeft w:val="0"/>
      <w:marRight w:val="0"/>
      <w:marTop w:val="0"/>
      <w:marBottom w:val="0"/>
      <w:divBdr>
        <w:top w:val="none" w:sz="0" w:space="0" w:color="auto"/>
        <w:left w:val="none" w:sz="0" w:space="0" w:color="auto"/>
        <w:bottom w:val="none" w:sz="0" w:space="0" w:color="auto"/>
        <w:right w:val="none" w:sz="0" w:space="0" w:color="auto"/>
      </w:divBdr>
    </w:div>
    <w:div w:id="429591988">
      <w:bodyDiv w:val="1"/>
      <w:marLeft w:val="0"/>
      <w:marRight w:val="0"/>
      <w:marTop w:val="0"/>
      <w:marBottom w:val="0"/>
      <w:divBdr>
        <w:top w:val="none" w:sz="0" w:space="0" w:color="auto"/>
        <w:left w:val="none" w:sz="0" w:space="0" w:color="auto"/>
        <w:bottom w:val="none" w:sz="0" w:space="0" w:color="auto"/>
        <w:right w:val="none" w:sz="0" w:space="0" w:color="auto"/>
      </w:divBdr>
    </w:div>
    <w:div w:id="450130413">
      <w:bodyDiv w:val="1"/>
      <w:marLeft w:val="0"/>
      <w:marRight w:val="0"/>
      <w:marTop w:val="0"/>
      <w:marBottom w:val="0"/>
      <w:divBdr>
        <w:top w:val="none" w:sz="0" w:space="0" w:color="auto"/>
        <w:left w:val="none" w:sz="0" w:space="0" w:color="auto"/>
        <w:bottom w:val="none" w:sz="0" w:space="0" w:color="auto"/>
        <w:right w:val="none" w:sz="0" w:space="0" w:color="auto"/>
      </w:divBdr>
    </w:div>
    <w:div w:id="1148202708">
      <w:bodyDiv w:val="1"/>
      <w:marLeft w:val="0"/>
      <w:marRight w:val="0"/>
      <w:marTop w:val="0"/>
      <w:marBottom w:val="0"/>
      <w:divBdr>
        <w:top w:val="none" w:sz="0" w:space="0" w:color="auto"/>
        <w:left w:val="none" w:sz="0" w:space="0" w:color="auto"/>
        <w:bottom w:val="none" w:sz="0" w:space="0" w:color="auto"/>
        <w:right w:val="none" w:sz="0" w:space="0" w:color="auto"/>
      </w:divBdr>
    </w:div>
    <w:div w:id="1535918379">
      <w:bodyDiv w:val="1"/>
      <w:marLeft w:val="0"/>
      <w:marRight w:val="0"/>
      <w:marTop w:val="0"/>
      <w:marBottom w:val="0"/>
      <w:divBdr>
        <w:top w:val="none" w:sz="0" w:space="0" w:color="auto"/>
        <w:left w:val="none" w:sz="0" w:space="0" w:color="auto"/>
        <w:bottom w:val="none" w:sz="0" w:space="0" w:color="auto"/>
        <w:right w:val="none" w:sz="0" w:space="0" w:color="auto"/>
      </w:divBdr>
    </w:div>
    <w:div w:id="1890219352">
      <w:bodyDiv w:val="1"/>
      <w:marLeft w:val="0"/>
      <w:marRight w:val="0"/>
      <w:marTop w:val="0"/>
      <w:marBottom w:val="0"/>
      <w:divBdr>
        <w:top w:val="none" w:sz="0" w:space="0" w:color="auto"/>
        <w:left w:val="none" w:sz="0" w:space="0" w:color="auto"/>
        <w:bottom w:val="none" w:sz="0" w:space="0" w:color="auto"/>
        <w:right w:val="none" w:sz="0" w:space="0" w:color="auto"/>
      </w:divBdr>
    </w:div>
    <w:div w:id="18957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9CF2-9B23-490B-9D1D-11C2EE0E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9</cp:revision>
  <dcterms:created xsi:type="dcterms:W3CDTF">2022-01-20T13:56:00Z</dcterms:created>
  <dcterms:modified xsi:type="dcterms:W3CDTF">2022-03-11T15:34:00Z</dcterms:modified>
</cp:coreProperties>
</file>